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AC6F8" w14:textId="603966DF" w:rsidR="006900F0" w:rsidRPr="00FD4019" w:rsidRDefault="000D6167" w:rsidP="009937E1">
      <w:pPr>
        <w:pStyle w:val="SubjectHeader"/>
      </w:pPr>
      <w:bookmarkStart w:id="0" w:name="_Hlk180137844"/>
      <w:r>
        <w:t xml:space="preserve">Promises Supported by Reliance: </w:t>
      </w:r>
      <w:r w:rsidR="0021252B" w:rsidRPr="00FD4019">
        <w:t>Pro</w:t>
      </w:r>
      <w:r w:rsidR="00452178" w:rsidRPr="00FD4019">
        <w:t xml:space="preserve">missory Estoppel </w:t>
      </w:r>
    </w:p>
    <w:p w14:paraId="344789DE" w14:textId="152C7459" w:rsidR="0092329B" w:rsidRPr="007E1344" w:rsidRDefault="003F6FFA" w:rsidP="007E1344">
      <w:r w:rsidRPr="007E1344">
        <w:t xml:space="preserve">Contract </w:t>
      </w:r>
      <w:r w:rsidR="003F0F27" w:rsidRPr="007E1344">
        <w:t xml:space="preserve">doctrine requires a party seeking to enforce a promise to meet </w:t>
      </w:r>
      <w:r w:rsidR="00874D19" w:rsidRPr="007E1344">
        <w:t xml:space="preserve">certain requirements. Specifically, enforceable promises are characterized by agreement and </w:t>
      </w:r>
      <w:r w:rsidR="00272645" w:rsidRPr="007E1344">
        <w:t xml:space="preserve">bargained-for </w:t>
      </w:r>
      <w:r w:rsidR="00874D19" w:rsidRPr="007E1344">
        <w:t xml:space="preserve">consideration. </w:t>
      </w:r>
      <w:r w:rsidR="0088551C" w:rsidRPr="007E1344">
        <w:t xml:space="preserve">But despite </w:t>
      </w:r>
      <w:r w:rsidR="00874D19" w:rsidRPr="007E1344">
        <w:t>those requirements</w:t>
      </w:r>
      <w:r w:rsidR="0088551C" w:rsidRPr="007E1344">
        <w:t xml:space="preserve">, </w:t>
      </w:r>
      <w:r w:rsidR="007D5720" w:rsidRPr="007E1344">
        <w:t xml:space="preserve">courts sometimes enforce promises </w:t>
      </w:r>
      <w:r w:rsidR="00272645" w:rsidRPr="007E1344">
        <w:t xml:space="preserve">that lack consideration </w:t>
      </w:r>
      <w:r w:rsidR="007D5720" w:rsidRPr="007E1344">
        <w:t xml:space="preserve">because the </w:t>
      </w:r>
      <w:proofErr w:type="spellStart"/>
      <w:r w:rsidR="007D5720" w:rsidRPr="007E1344">
        <w:t>promisee</w:t>
      </w:r>
      <w:proofErr w:type="spellEnd"/>
      <w:r w:rsidR="007D5720" w:rsidRPr="007E1344">
        <w:t xml:space="preserve"> has reasonably relied on the promise. The </w:t>
      </w:r>
      <w:proofErr w:type="spellStart"/>
      <w:r w:rsidR="007D5720" w:rsidRPr="007E1344">
        <w:t>promisee’s</w:t>
      </w:r>
      <w:proofErr w:type="spellEnd"/>
      <w:r w:rsidR="007D5720" w:rsidRPr="007E1344">
        <w:t xml:space="preserve"> reliance will prevent (or estop) the promisor from claiming the contract is unenforceable </w:t>
      </w:r>
      <w:r w:rsidR="00874D19" w:rsidRPr="007E1344">
        <w:t xml:space="preserve">for lack of </w:t>
      </w:r>
      <w:r w:rsidR="007D5720" w:rsidRPr="007E1344">
        <w:t>consideration. The following case highlight</w:t>
      </w:r>
      <w:r w:rsidR="000D6167">
        <w:t>s</w:t>
      </w:r>
      <w:r w:rsidR="007D5720" w:rsidRPr="007E1344">
        <w:t xml:space="preserve"> </w:t>
      </w:r>
      <w:r w:rsidR="0088551C" w:rsidRPr="007E1344">
        <w:t xml:space="preserve">early efforts to describe </w:t>
      </w:r>
      <w:r w:rsidR="007D5720" w:rsidRPr="007E1344">
        <w:t>how and when reasonable reliance is sufficient to make a promise enforceable.</w:t>
      </w:r>
    </w:p>
    <w:p w14:paraId="7A03B816" w14:textId="45130572" w:rsidR="009D00C0" w:rsidRPr="007E1344" w:rsidRDefault="00C42329" w:rsidP="007E1344">
      <w:pPr>
        <w:pStyle w:val="CaseName"/>
      </w:pPr>
      <w:bookmarkStart w:id="1" w:name="_Hlk126224690"/>
      <w:r w:rsidRPr="007E1344">
        <w:t>Ricketts v. Scothorn</w:t>
      </w:r>
    </w:p>
    <w:p w14:paraId="532B4B69" w14:textId="583E86D2" w:rsidR="00A36905" w:rsidRPr="007E1344" w:rsidRDefault="00915943" w:rsidP="007E1344">
      <w:pPr>
        <w:pStyle w:val="Citation"/>
      </w:pPr>
      <w:r w:rsidRPr="007E1344">
        <w:t>77 N.W. 365</w:t>
      </w:r>
      <w:r w:rsidR="00C42329" w:rsidRPr="007E1344">
        <w:t xml:space="preserve"> (</w:t>
      </w:r>
      <w:r w:rsidR="00874D19" w:rsidRPr="007E1344">
        <w:t>Nebraska</w:t>
      </w:r>
      <w:r w:rsidR="001B1353" w:rsidRPr="007E1344">
        <w:t xml:space="preserve"> Supreme Court</w:t>
      </w:r>
      <w:r w:rsidR="00874D19" w:rsidRPr="007E1344">
        <w:t xml:space="preserve"> </w:t>
      </w:r>
      <w:r w:rsidR="00C42329" w:rsidRPr="007E1344">
        <w:t>1898)</w:t>
      </w:r>
    </w:p>
    <w:p w14:paraId="03F9BA6B" w14:textId="5014EBCF" w:rsidR="00A36905" w:rsidRPr="007E1344" w:rsidRDefault="00C42329" w:rsidP="007E1344">
      <w:pPr>
        <w:pStyle w:val="JudgesName"/>
      </w:pPr>
      <w:bookmarkStart w:id="2" w:name="co_anchor_Iee2b71f5ad7011de9b8c85033233"/>
      <w:r w:rsidRPr="007E1344">
        <w:t>SULLIVAN</w:t>
      </w:r>
      <w:r w:rsidR="00A36905" w:rsidRPr="007E1344">
        <w:t>, J</w:t>
      </w:r>
      <w:r w:rsidR="00364B4C" w:rsidRPr="007E1344">
        <w:t>udge:</w:t>
      </w:r>
    </w:p>
    <w:p w14:paraId="3E57B2C7" w14:textId="2391E24D" w:rsidR="00874D19" w:rsidRPr="00FD4019" w:rsidRDefault="00C42329" w:rsidP="007E1344">
      <w:r w:rsidRPr="00FD4019">
        <w:t xml:space="preserve">In the district court of Lancaster </w:t>
      </w:r>
      <w:proofErr w:type="gramStart"/>
      <w:r w:rsidRPr="00FD4019">
        <w:t>county</w:t>
      </w:r>
      <w:proofErr w:type="gramEnd"/>
      <w:r w:rsidRPr="00FD4019">
        <w:t xml:space="preserve"> the plaintiff, Katie Scothorn, recovered judgment against the defendant, Andrew D. Ricketts, as executor of the last will and testament of John C. Ricketts, deceased. The action was based upon a promissory note, of which the following is a copy: “May the first, 1891. I promise to pay to Katie Scothorn on demand, $2,000, to be at 6 per cent. per annum. J. C. Ricketts.” In the petition the plaintiff alleges that the consideration for the execution of the note was that she should surrender her employment as bookkeeper for Mayer </w:t>
      </w:r>
      <w:proofErr w:type="gramStart"/>
      <w:r w:rsidRPr="00FD4019">
        <w:t>Bros., and</w:t>
      </w:r>
      <w:proofErr w:type="gramEnd"/>
      <w:r w:rsidRPr="00FD4019">
        <w:t xml:space="preserve"> cease to work for a living. She also alleges that the note was given to induce her to abandon her occupation, and that, relying on it, and on the annual interest, as a means of support, she gave up the employment in which she was then engaged. These allegations of the petition are denied by the administrator.</w:t>
      </w:r>
      <w:r w:rsidR="00BB4502">
        <w:t xml:space="preserve"> </w:t>
      </w:r>
    </w:p>
    <w:p w14:paraId="5826330E" w14:textId="10419823" w:rsidR="00874D19" w:rsidRPr="00FD4019" w:rsidRDefault="00C42329" w:rsidP="007E1344">
      <w:r w:rsidRPr="00FD4019">
        <w:t xml:space="preserve">The material facts are undisputed. They are as follows: John C. Ricketts, the maker of the note, was the grandfather of the plaintiff. Early in May––presumably on the day the note bears date––he called on her at the store where she was working. What transpired between them is thus described by Mr. </w:t>
      </w:r>
      <w:proofErr w:type="spellStart"/>
      <w:r w:rsidRPr="00FD4019">
        <w:t>Flodene</w:t>
      </w:r>
      <w:proofErr w:type="spellEnd"/>
      <w:r w:rsidRPr="00FD4019">
        <w:t>, one of the plaintiff</w:t>
      </w:r>
      <w:r w:rsidR="00DB3AF2" w:rsidRPr="00FD4019">
        <w:t>’</w:t>
      </w:r>
      <w:r w:rsidRPr="00FD4019">
        <w:t>s witnesses: “A. Well, the old gentleman came in there one morning about nine o</w:t>
      </w:r>
      <w:r w:rsidR="00DB3AF2" w:rsidRPr="00FD4019">
        <w:t>’</w:t>
      </w:r>
      <w:r w:rsidRPr="00FD4019">
        <w:t xml:space="preserve">clock, probably a little before or a little after, but early in the morning, and he unbuttoned his vest, and took out a piece of paper in the shape of a note; that is the way it looked to me; and he says to Miss Scothorn, ‘I have fixed out something that you have not got to work </w:t>
      </w:r>
      <w:proofErr w:type="spellStart"/>
      <w:r w:rsidRPr="00FD4019">
        <w:t>any more</w:t>
      </w:r>
      <w:proofErr w:type="spellEnd"/>
      <w:r w:rsidRPr="00FD4019">
        <w:t>.’ He says, none of my grandchildren work, and you don</w:t>
      </w:r>
      <w:r w:rsidR="00DB3AF2" w:rsidRPr="00FD4019">
        <w:t>’</w:t>
      </w:r>
      <w:r w:rsidRPr="00FD4019">
        <w:t xml:space="preserve">t have to. Q. Where was she? A. She took the piece of paper and kissed him, and kissed the old gentleman, and commenced to cry.” It seems Miss Scothorn immediately notified her employer of her intention to quit work, and that she did soon after </w:t>
      </w:r>
      <w:proofErr w:type="gramStart"/>
      <w:r w:rsidRPr="00FD4019">
        <w:t>abandon</w:t>
      </w:r>
      <w:proofErr w:type="gramEnd"/>
      <w:r w:rsidRPr="00FD4019">
        <w:t xml:space="preserve"> her occupation. </w:t>
      </w:r>
      <w:r w:rsidRPr="00FD4019">
        <w:lastRenderedPageBreak/>
        <w:t xml:space="preserve">The mother of the plaintiff was a </w:t>
      </w:r>
      <w:proofErr w:type="gramStart"/>
      <w:r w:rsidRPr="00FD4019">
        <w:t>witness, and</w:t>
      </w:r>
      <w:proofErr w:type="gramEnd"/>
      <w:r w:rsidRPr="00FD4019">
        <w:t xml:space="preserve"> testified that she had a conversation with her father, Mr. Ricketts, shortly after the note was executed, in which he informed her that he had given the note to the plaintiff to enable her to quit work; that none of his grandchildren worked, and he did not think she ought to. For something more than a year the plaintiff was without an occupation, but in </w:t>
      </w:r>
      <w:proofErr w:type="gramStart"/>
      <w:r w:rsidRPr="00FD4019">
        <w:t>September,</w:t>
      </w:r>
      <w:proofErr w:type="gramEnd"/>
      <w:r w:rsidRPr="00FD4019">
        <w:t xml:space="preserve"> 1892, with the consent of her grandfather, and by his assistance, she secured a position as bookkeeper with Messrs. Funke &amp; Ogden. On June 8, 1894, Mr. Ricketts died. He had paid one year</w:t>
      </w:r>
      <w:r w:rsidR="00DB3AF2" w:rsidRPr="00FD4019">
        <w:t>’</w:t>
      </w:r>
      <w:r w:rsidRPr="00FD4019">
        <w:t xml:space="preserve">s interest on the note, and a short time before his death expressed regret that he had not been able to pay the balance. In the summer or fall of 1892 he stated to his daughter, Mrs. Scothorn, that if he could sell his farm in </w:t>
      </w:r>
      <w:proofErr w:type="gramStart"/>
      <w:r w:rsidRPr="00FD4019">
        <w:t>Ohio</w:t>
      </w:r>
      <w:proofErr w:type="gramEnd"/>
      <w:r w:rsidRPr="00FD4019">
        <w:t xml:space="preserve"> he would pay the note out of the proceeds. He at no time repudiated the obligation.</w:t>
      </w:r>
      <w:r w:rsidR="00BB4502">
        <w:t xml:space="preserve"> </w:t>
      </w:r>
    </w:p>
    <w:p w14:paraId="5B2067D1" w14:textId="3B7E25F2" w:rsidR="00EE084D" w:rsidRPr="00FD4019" w:rsidRDefault="00C42329" w:rsidP="007E1344">
      <w:r w:rsidRPr="00FD4019">
        <w:t xml:space="preserve">We quite agree with counsel for the defendant that upon this evidence there was nothing to submit to the jury, and that a verdict should have been directed peremptorily for one of the parties. The testimony of </w:t>
      </w:r>
      <w:proofErr w:type="spellStart"/>
      <w:r w:rsidRPr="00FD4019">
        <w:t>Flodene</w:t>
      </w:r>
      <w:proofErr w:type="spellEnd"/>
      <w:r w:rsidRPr="00FD4019">
        <w:t xml:space="preserve"> and Mrs. Scothorn, taken together, conclusively establishes the fact that the note was not given in consideration of the plaintiff pursuing, or agreeing to pursue, any </w:t>
      </w:r>
      <w:proofErr w:type="gramStart"/>
      <w:r w:rsidRPr="00FD4019">
        <w:t>particular line</w:t>
      </w:r>
      <w:proofErr w:type="gramEnd"/>
      <w:r w:rsidRPr="00FD4019">
        <w:t xml:space="preserve"> of conduct. There was no promise on the part of the plaintiff to do, or refrain from doing, anything. Her right to the money promised in the note was not made to depend upon an abandonment of her employment with Mayer Bros., and future abstention from like service. Mr. Ricketts made no condition, requirement, or request. He exacted no quid pro quo. He gave the note as a </w:t>
      </w:r>
      <w:proofErr w:type="gramStart"/>
      <w:r w:rsidRPr="00FD4019">
        <w:t>gratuity, and</w:t>
      </w:r>
      <w:proofErr w:type="gramEnd"/>
      <w:r w:rsidRPr="00FD4019">
        <w:t xml:space="preserve"> looked for nothing in return. So far as the evidence discloses, it was his purpose to place the plaintiff in a position of independence, where she could work or remain idle, as she might choose. The abandonment of Miss Scothorn of her position as bookkeeper was altogether voluntary. It was not an act done in fulfillment of any contract obligation assumed when she accepted the note. The instrument in suit, being given without any valuable consideration, was nothing more than a promise to make a gift in the future of the sum of money therein named. Ordinarily, such promises are not enforceable, even when put in the form of a promissory note. </w:t>
      </w:r>
      <w:r w:rsidRPr="00FD4019">
        <w:rPr>
          <w:i/>
          <w:iCs/>
        </w:rPr>
        <w:t>Kirkpatrick v. Taylor</w:t>
      </w:r>
      <w:r w:rsidRPr="00FD4019">
        <w:t xml:space="preserve">, 43 Ill. 207; </w:t>
      </w:r>
      <w:r w:rsidRPr="00FD4019">
        <w:rPr>
          <w:i/>
          <w:iCs/>
        </w:rPr>
        <w:t>Phelps v. Phelps</w:t>
      </w:r>
      <w:r w:rsidRPr="00FD4019">
        <w:t xml:space="preserve">, 28 Barb. 121; </w:t>
      </w:r>
      <w:r w:rsidRPr="00FD4019">
        <w:rPr>
          <w:i/>
          <w:iCs/>
        </w:rPr>
        <w:t>Johnston v. Griest</w:t>
      </w:r>
      <w:r w:rsidRPr="00FD4019">
        <w:t xml:space="preserve">, 85 Ind. 503; </w:t>
      </w:r>
      <w:r w:rsidRPr="00FD4019">
        <w:rPr>
          <w:i/>
          <w:iCs/>
        </w:rPr>
        <w:t>Fink v. Cox</w:t>
      </w:r>
      <w:r w:rsidRPr="00FD4019">
        <w:t xml:space="preserve">, 18 Johns. 145. </w:t>
      </w:r>
    </w:p>
    <w:p w14:paraId="69F1233F" w14:textId="010FEDBF" w:rsidR="00C42329" w:rsidRPr="00FD4019" w:rsidRDefault="00C42329" w:rsidP="007E1344">
      <w:r w:rsidRPr="00FD4019">
        <w:t xml:space="preserve">But it has often been held that an action on a note given to a church, college, or other like institution, upon the faith of which money has been expended or obligations incurred, could not be successfully defended on the ground of a want of consideration. </w:t>
      </w:r>
      <w:r w:rsidRPr="00FD4019">
        <w:rPr>
          <w:i/>
          <w:iCs/>
        </w:rPr>
        <w:t>Barnes v. Perine</w:t>
      </w:r>
      <w:r w:rsidRPr="00FD4019">
        <w:t>, 12 N. Y. 18</w:t>
      </w:r>
      <w:r w:rsidR="00E70EDD" w:rsidRPr="00FD4019">
        <w:t xml:space="preserve"> (1854)</w:t>
      </w:r>
      <w:r w:rsidRPr="00FD4019">
        <w:rPr>
          <w:i/>
          <w:iCs/>
        </w:rPr>
        <w:t>; Philomath College v. Hartless</w:t>
      </w:r>
      <w:r w:rsidRPr="00FD4019">
        <w:t>, 6 Or. 158</w:t>
      </w:r>
      <w:r w:rsidR="00E70EDD" w:rsidRPr="00FD4019">
        <w:t xml:space="preserve"> (1876)</w:t>
      </w:r>
      <w:r w:rsidRPr="00FD4019">
        <w:t xml:space="preserve">; </w:t>
      </w:r>
      <w:r w:rsidRPr="00FD4019">
        <w:rPr>
          <w:i/>
          <w:iCs/>
        </w:rPr>
        <w:t xml:space="preserve">Thompson v. </w:t>
      </w:r>
      <w:r w:rsidR="00E70EDD" w:rsidRPr="00FD4019">
        <w:rPr>
          <w:i/>
          <w:iCs/>
        </w:rPr>
        <w:t xml:space="preserve">Bd. of </w:t>
      </w:r>
      <w:proofErr w:type="spellStart"/>
      <w:r w:rsidR="00E70EDD" w:rsidRPr="00FD4019">
        <w:rPr>
          <w:i/>
          <w:iCs/>
        </w:rPr>
        <w:t>Sup’rs</w:t>
      </w:r>
      <w:proofErr w:type="spellEnd"/>
      <w:r w:rsidR="00E70EDD" w:rsidRPr="00FD4019">
        <w:rPr>
          <w:i/>
          <w:iCs/>
        </w:rPr>
        <w:t xml:space="preserve"> of Mercer </w:t>
      </w:r>
      <w:proofErr w:type="spellStart"/>
      <w:r w:rsidR="00E70EDD" w:rsidRPr="00FD4019">
        <w:rPr>
          <w:i/>
          <w:iCs/>
        </w:rPr>
        <w:t>Cnty</w:t>
      </w:r>
      <w:proofErr w:type="spellEnd"/>
      <w:r w:rsidR="00E70EDD" w:rsidRPr="00FD4019">
        <w:rPr>
          <w:i/>
          <w:iCs/>
        </w:rPr>
        <w:t>.</w:t>
      </w:r>
      <w:r w:rsidR="00853468" w:rsidRPr="00FD4019">
        <w:rPr>
          <w:i/>
          <w:iCs/>
        </w:rPr>
        <w:t xml:space="preserve"> </w:t>
      </w:r>
      <w:r w:rsidRPr="00FD4019">
        <w:t>40 Ill. 379</w:t>
      </w:r>
      <w:r w:rsidR="00853468" w:rsidRPr="00FD4019">
        <w:t xml:space="preserve"> (1866)</w:t>
      </w:r>
      <w:r w:rsidRPr="00FD4019">
        <w:t xml:space="preserve">; </w:t>
      </w:r>
      <w:r w:rsidRPr="00FD4019">
        <w:rPr>
          <w:i/>
          <w:iCs/>
        </w:rPr>
        <w:t xml:space="preserve">Irwin v. Lombard </w:t>
      </w:r>
      <w:r w:rsidR="00853468" w:rsidRPr="00FD4019">
        <w:rPr>
          <w:i/>
          <w:iCs/>
        </w:rPr>
        <w:t>Univ.</w:t>
      </w:r>
      <w:r w:rsidRPr="00FD4019">
        <w:t>, 56 Ohio St. 9, 46 N. E. 63</w:t>
      </w:r>
      <w:r w:rsidR="00853468" w:rsidRPr="00FD4019">
        <w:t xml:space="preserve"> (1897)</w:t>
      </w:r>
      <w:r w:rsidRPr="00FD4019">
        <w:t xml:space="preserve">. In this class of cases the note in suit is nearly always spoken of as a gift or donation, but the decision is generally put on the ground that the expenditure of money or assumption of liability by the </w:t>
      </w:r>
      <w:proofErr w:type="spellStart"/>
      <w:r w:rsidRPr="00FD4019">
        <w:t>donee</w:t>
      </w:r>
      <w:proofErr w:type="spellEnd"/>
      <w:r w:rsidRPr="00FD4019">
        <w:t xml:space="preserve"> on the faith of the promise constitutes a valuable and sufficient consideration. It seems </w:t>
      </w:r>
      <w:r w:rsidRPr="00FD4019">
        <w:lastRenderedPageBreak/>
        <w:t xml:space="preserve">to us that the true reason is the preclusion of the defendant, under the doctrine of estoppel, to deny the consideration. Such seems to be the view of the matter taken by the supreme court of Iowa in the case of </w:t>
      </w:r>
      <w:r w:rsidRPr="00FD4019">
        <w:rPr>
          <w:i/>
          <w:iCs/>
        </w:rPr>
        <w:t>Simpson Centenary College v. Tuttle</w:t>
      </w:r>
      <w:r w:rsidRPr="00FD4019">
        <w:t xml:space="preserve">, 71 Iowa, 596, 33 N. W. 74, where Rothrock, J., speaking for the court, said: “Where a note, however, is based on a promise to give for the support of the objects referred to, it may still be open to this defense [want of consideration], unless it shall appear that the </w:t>
      </w:r>
      <w:proofErr w:type="spellStart"/>
      <w:r w:rsidRPr="00FD4019">
        <w:t>donee</w:t>
      </w:r>
      <w:proofErr w:type="spellEnd"/>
      <w:r w:rsidRPr="00FD4019">
        <w:t xml:space="preserve"> has, prior to any revocation, entered into engagements, or made expenditures based on such promise, so that he must suffer loss or injury if the note is not paid. This is based on the equitable principle that, after allowing the </w:t>
      </w:r>
      <w:proofErr w:type="spellStart"/>
      <w:r w:rsidRPr="00FD4019">
        <w:t>donee</w:t>
      </w:r>
      <w:proofErr w:type="spellEnd"/>
      <w:r w:rsidRPr="00FD4019">
        <w:t xml:space="preserve"> to incur obligations on the faith that the note would be paid, the donor would be estopped from pleading want of consideration.” And in the case of </w:t>
      </w:r>
      <w:proofErr w:type="spellStart"/>
      <w:r w:rsidRPr="00FD4019">
        <w:rPr>
          <w:i/>
          <w:iCs/>
        </w:rPr>
        <w:t>Reimensnyder</w:t>
      </w:r>
      <w:proofErr w:type="spellEnd"/>
      <w:r w:rsidRPr="00FD4019">
        <w:rPr>
          <w:i/>
          <w:iCs/>
        </w:rPr>
        <w:t xml:space="preserve"> v. Gans</w:t>
      </w:r>
      <w:r w:rsidRPr="00FD4019">
        <w:t xml:space="preserve">, 110 Pa. St. 17, 2 Atl. 425, which was an action on a note given as a donation to a  charitable object, the court said: “The fact is that, as we may see from the case of </w:t>
      </w:r>
      <w:proofErr w:type="spellStart"/>
      <w:r w:rsidRPr="00FD4019">
        <w:rPr>
          <w:i/>
          <w:iCs/>
        </w:rPr>
        <w:t>Ryerss</w:t>
      </w:r>
      <w:proofErr w:type="spellEnd"/>
      <w:r w:rsidRPr="00FD4019">
        <w:rPr>
          <w:i/>
          <w:iCs/>
        </w:rPr>
        <w:t xml:space="preserve"> v. Trustees</w:t>
      </w:r>
      <w:r w:rsidRPr="00FD4019">
        <w:t xml:space="preserve">, 33 Pa. St. 114, a contract of the kind here involved is enforceable rather by way of estoppel than on the ground of consideration in the original undertaking.” It has been held that a note given in expectation of the payee performing certain services, but without any contract binding him to serve, will not support an action. </w:t>
      </w:r>
      <w:r w:rsidRPr="00FD4019">
        <w:rPr>
          <w:i/>
          <w:iCs/>
        </w:rPr>
        <w:t>Hulse v. Hulse</w:t>
      </w:r>
      <w:r w:rsidRPr="00FD4019">
        <w:t xml:space="preserve">, 84 E. C. L. 709. But when the payee changes his position to his disadvantage in reliance on the promise, a right of action does arise. </w:t>
      </w:r>
      <w:r w:rsidRPr="00FD4019">
        <w:rPr>
          <w:i/>
          <w:iCs/>
        </w:rPr>
        <w:t>McClure v. Wilson</w:t>
      </w:r>
      <w:r w:rsidRPr="00FD4019">
        <w:t>, 43 Ill. 356</w:t>
      </w:r>
      <w:r w:rsidR="00853468" w:rsidRPr="00FD4019">
        <w:t xml:space="preserve"> (1867)</w:t>
      </w:r>
      <w:r w:rsidRPr="00FD4019">
        <w:t xml:space="preserve">; </w:t>
      </w:r>
      <w:r w:rsidRPr="00FD4019">
        <w:rPr>
          <w:i/>
          <w:iCs/>
        </w:rPr>
        <w:t>Trustees v. Garvey</w:t>
      </w:r>
      <w:r w:rsidRPr="00FD4019">
        <w:t>, 53 Ill. 401</w:t>
      </w:r>
      <w:r w:rsidR="00853468" w:rsidRPr="00FD4019">
        <w:t xml:space="preserve"> (1870)</w:t>
      </w:r>
      <w:r w:rsidRPr="00FD4019">
        <w:t>.</w:t>
      </w:r>
    </w:p>
    <w:p w14:paraId="2DE10F30" w14:textId="1D32B5D7" w:rsidR="00874D19" w:rsidRPr="00FD4019" w:rsidRDefault="00C42329" w:rsidP="007E1344">
      <w:r w:rsidRPr="00FD4019">
        <w:t xml:space="preserve">Under the circumstances of this case, is there an equitable estoppel which ought to preclude the defendant from alleging that the note in controversy is lacking in one of the essential elements of a valid contract? We think there is. An estoppel in </w:t>
      </w:r>
      <w:proofErr w:type="spellStart"/>
      <w:r w:rsidRPr="00FD4019">
        <w:t>pais</w:t>
      </w:r>
      <w:proofErr w:type="spellEnd"/>
      <w:r w:rsidRPr="00FD4019">
        <w:t xml:space="preserve"> is defined to be “a right arising from acts, admissions, or conduct which have induced a change of position in accordance with the real or apparent intention of the party against whom they are alleged.” Mr. Pomeroy has formulated the following definition: “Equitable estoppel is the effect of the voluntary conduct of a party whereby he is absolutely precluded, both at law and in equity, from asserting rights which might, perhaps, have otherwise existed, either of property, of contract, or of remedy, as against another person who in good faith relied upon such conduct, and has been led thereby to change his position for the worse, and who on his part acquires some corresponding right, either of property, of contract, or of remedy.” 2 Pom. Eq. Jur. 804. According to the undisputed proof, as shown by the record before us, the plaintiff was a working girl, holding a position in which she earned a salary of $10 per week</w:t>
      </w:r>
      <w:r w:rsidR="00FB4F43" w:rsidRPr="00FD4019">
        <w:t>.</w:t>
      </w:r>
      <w:r w:rsidRPr="00FD4019">
        <w:t xml:space="preserve"> Her grandfather, desiring to put her in a position of independence, gave her the note, accompanying it with the remark that his other grandchildren did not work, and that she would not be obliged to work any longer. In effect, he suggested that she might abandon her </w:t>
      </w:r>
      <w:proofErr w:type="gramStart"/>
      <w:r w:rsidRPr="00FD4019">
        <w:t>employment, and</w:t>
      </w:r>
      <w:proofErr w:type="gramEnd"/>
      <w:r w:rsidRPr="00FD4019">
        <w:t xml:space="preserve"> rely in the future upon the bounty which he promised. He doubtless desired that she should give up her occupation, but, whether he did or not, it is entirely certain that he contemplated such action </w:t>
      </w:r>
      <w:r w:rsidRPr="00FD4019">
        <w:lastRenderedPageBreak/>
        <w:t xml:space="preserve">on her part as a reasonable and probable consequence of his gift. Having intentionally influenced the plaintiff to alter her position for the worse on the faith of the note being paid when due, it would be grossly inequitable to permit the maker, or his executor, to resist payment on the ground that the promise was given without consideration. The petition charges the elements of an equitable estoppel, and the evidence conclusively establishes them. If errors intervened at the trial, they could not have been prejudicial. A verdict for the defendant would be unwarranted. The judgment is </w:t>
      </w:r>
      <w:proofErr w:type="gramStart"/>
      <w:r w:rsidRPr="00FD4019">
        <w:t>right, and</w:t>
      </w:r>
      <w:proofErr w:type="gramEnd"/>
      <w:r w:rsidRPr="00FD4019">
        <w:t xml:space="preserve"> is affirmed.</w:t>
      </w:r>
    </w:p>
    <w:p w14:paraId="795F3335" w14:textId="3FC8EC00" w:rsidR="00C42329" w:rsidRPr="00FD4019" w:rsidRDefault="00C42329" w:rsidP="007E1344">
      <w:pPr>
        <w:pStyle w:val="Questions"/>
      </w:pPr>
      <w:bookmarkStart w:id="3" w:name="_Hlk174716349"/>
      <w:bookmarkEnd w:id="2"/>
      <w:r w:rsidRPr="00FD4019">
        <w:t>Notes and Questions</w:t>
      </w:r>
    </w:p>
    <w:p w14:paraId="4D83D262" w14:textId="4E65712A" w:rsidR="00C42329" w:rsidRPr="007E1344" w:rsidRDefault="00C42329" w:rsidP="007E1344">
      <w:pPr>
        <w:pStyle w:val="ListParagraph"/>
        <w:numPr>
          <w:ilvl w:val="0"/>
          <w:numId w:val="32"/>
        </w:numPr>
      </w:pPr>
      <w:r w:rsidRPr="007E1344">
        <w:t xml:space="preserve">Compare </w:t>
      </w:r>
      <w:r w:rsidRPr="000D6167">
        <w:rPr>
          <w:i/>
          <w:iCs/>
        </w:rPr>
        <w:t>Ricketts</w:t>
      </w:r>
      <w:r w:rsidRPr="007E1344">
        <w:t xml:space="preserve"> to </w:t>
      </w:r>
      <w:r w:rsidRPr="000D6167">
        <w:rPr>
          <w:i/>
          <w:iCs/>
        </w:rPr>
        <w:t>Hamer v. Sidway</w:t>
      </w:r>
      <w:r w:rsidRPr="007E1344">
        <w:t xml:space="preserve">. Could you argue that there is a bargain in </w:t>
      </w:r>
      <w:r w:rsidRPr="000D6167">
        <w:rPr>
          <w:i/>
          <w:iCs/>
        </w:rPr>
        <w:t>Ricketts</w:t>
      </w:r>
      <w:r w:rsidRPr="007E1344">
        <w:t>? What are the benefits o</w:t>
      </w:r>
      <w:r w:rsidR="000D6167">
        <w:t>f</w:t>
      </w:r>
      <w:r w:rsidRPr="007E1344">
        <w:t xml:space="preserve"> each side of the bargain?</w:t>
      </w:r>
    </w:p>
    <w:p w14:paraId="0156B3B2" w14:textId="77777777" w:rsidR="00C42329" w:rsidRPr="00FD4019" w:rsidRDefault="00C42329" w:rsidP="007E1344">
      <w:pPr>
        <w:pStyle w:val="ListParagraph"/>
        <w:numPr>
          <w:ilvl w:val="0"/>
          <w:numId w:val="32"/>
        </w:numPr>
      </w:pPr>
      <w:r w:rsidRPr="00FD4019">
        <w:t>The court in</w:t>
      </w:r>
      <w:r w:rsidRPr="007E1344">
        <w:rPr>
          <w:i/>
          <w:iCs/>
        </w:rPr>
        <w:t xml:space="preserve"> Ricketts</w:t>
      </w:r>
      <w:r w:rsidRPr="00FD4019">
        <w:t xml:space="preserve"> asserts Katie Scothorn “alter[ed] her position for the worse.” What do you take the court to mean by that phrase? </w:t>
      </w:r>
    </w:p>
    <w:p w14:paraId="529993F2" w14:textId="09F1B69E" w:rsidR="00C42329" w:rsidRPr="00FD4019" w:rsidRDefault="00C42329" w:rsidP="007E1344">
      <w:pPr>
        <w:pStyle w:val="ListParagraph"/>
        <w:numPr>
          <w:ilvl w:val="0"/>
          <w:numId w:val="32"/>
        </w:numPr>
      </w:pPr>
      <w:r w:rsidRPr="00FD4019">
        <w:t>Compare the following facts take</w:t>
      </w:r>
      <w:r w:rsidR="0064114B" w:rsidRPr="00FD4019">
        <w:t>n</w:t>
      </w:r>
      <w:r w:rsidRPr="00FD4019">
        <w:t xml:space="preserve"> from a case </w:t>
      </w:r>
      <w:r w:rsidR="000D6167">
        <w:t>that</w:t>
      </w:r>
      <w:r w:rsidRPr="00FD4019">
        <w:t xml:space="preserve"> cites </w:t>
      </w:r>
      <w:r w:rsidRPr="007E1344">
        <w:rPr>
          <w:i/>
          <w:iCs/>
        </w:rPr>
        <w:t>Ricketts</w:t>
      </w:r>
      <w:r w:rsidRPr="00FD4019">
        <w:t xml:space="preserve">: A grandfather promised in writing to give $17,000 to his granddaughter to purchase an available home for that sum. She subsequently made a payment of $2,000 from her own savings for an “option contract” that would allow her to decide to buy the property. The court cited </w:t>
      </w:r>
      <w:r w:rsidRPr="007E1344">
        <w:rPr>
          <w:i/>
          <w:iCs/>
        </w:rPr>
        <w:t>Ricketts</w:t>
      </w:r>
      <w:r w:rsidRPr="00FD4019">
        <w:t xml:space="preserve"> for the proposition that under “the equitable doctrine of estoppel, … a gift of the donor’s own note may be sustained if the </w:t>
      </w:r>
      <w:proofErr w:type="spellStart"/>
      <w:r w:rsidRPr="00FD4019">
        <w:t>donee</w:t>
      </w:r>
      <w:proofErr w:type="spellEnd"/>
      <w:r w:rsidRPr="00FD4019">
        <w:t xml:space="preserve">, in reliance on the note, has expended money or incurred liabilities which will, by legal necessity, cause loss or injury to the </w:t>
      </w:r>
      <w:proofErr w:type="spellStart"/>
      <w:r w:rsidRPr="00FD4019">
        <w:t>donee</w:t>
      </w:r>
      <w:proofErr w:type="spellEnd"/>
      <w:r w:rsidRPr="00FD4019">
        <w:t xml:space="preserve"> if the note is not paid.” </w:t>
      </w:r>
      <w:r w:rsidRPr="007E1344">
        <w:rPr>
          <w:i/>
          <w:iCs/>
        </w:rPr>
        <w:t>In re Estate of Bucci</w:t>
      </w:r>
      <w:r w:rsidRPr="00FD4019">
        <w:t>, 488 P.2d 216, 219 (Colo. Ct. App. 1971).</w:t>
      </w:r>
    </w:p>
    <w:p w14:paraId="403C0FC9" w14:textId="5A7938D1" w:rsidR="00874D19" w:rsidRPr="00FD4019" w:rsidRDefault="00874D19" w:rsidP="007E1344">
      <w:pPr>
        <w:pStyle w:val="ListParagraph"/>
        <w:numPr>
          <w:ilvl w:val="0"/>
          <w:numId w:val="32"/>
        </w:numPr>
      </w:pPr>
      <w:r w:rsidRPr="00FD4019">
        <w:t xml:space="preserve">The Restatement adopted a cause of action based on reliance, </w:t>
      </w:r>
      <w:r w:rsidR="00DA0A6D" w:rsidRPr="00FD4019">
        <w:t>known</w:t>
      </w:r>
      <w:r w:rsidRPr="00FD4019">
        <w:t xml:space="preserve"> as promissory estoppel:  </w:t>
      </w:r>
      <w:bookmarkEnd w:id="3"/>
    </w:p>
    <w:p w14:paraId="51C9291C" w14:textId="3977D78E" w:rsidR="00874D19" w:rsidRPr="007E1344" w:rsidRDefault="00FB4F43" w:rsidP="007E1344">
      <w:pPr>
        <w:pStyle w:val="BlockquoteInList"/>
        <w:rPr>
          <w:b/>
          <w:bCs/>
        </w:rPr>
      </w:pPr>
      <w:r w:rsidRPr="007E1344">
        <w:rPr>
          <w:b/>
          <w:bCs/>
        </w:rPr>
        <w:t>§ 90. Promise Reasonably Inducing Action or Forbearance</w:t>
      </w:r>
    </w:p>
    <w:p w14:paraId="33700184" w14:textId="673CF226" w:rsidR="00FB4F43" w:rsidRPr="00FD4019" w:rsidRDefault="00FB4F43" w:rsidP="007E1344">
      <w:pPr>
        <w:pStyle w:val="BlockquoteInList"/>
        <w:numPr>
          <w:ilvl w:val="0"/>
          <w:numId w:val="43"/>
        </w:numPr>
      </w:pPr>
      <w:r w:rsidRPr="00FD4019">
        <w:t xml:space="preserve">A promise which the promisor should reasonably expect to induce action or forbearance on the part of the </w:t>
      </w:r>
      <w:proofErr w:type="spellStart"/>
      <w:r w:rsidRPr="00FD4019">
        <w:t>promisee</w:t>
      </w:r>
      <w:proofErr w:type="spellEnd"/>
      <w:r w:rsidRPr="00FD4019">
        <w:t xml:space="preserve"> or a third person and which does </w:t>
      </w:r>
      <w:r w:rsidRPr="007E1344">
        <w:t>induce</w:t>
      </w:r>
      <w:r w:rsidRPr="00FD4019">
        <w:t xml:space="preserve"> such action or forbearance is binding if injustice can be avoided only by enforcement of the promise. The remedy granted for breach may be limited as justice requires.</w:t>
      </w:r>
    </w:p>
    <w:p w14:paraId="0AA1E6A1" w14:textId="5E9A49B8" w:rsidR="00FB4F43" w:rsidRPr="00FD4019" w:rsidRDefault="00FB4F43" w:rsidP="007E1344">
      <w:pPr>
        <w:pStyle w:val="BlockquoteInList"/>
        <w:numPr>
          <w:ilvl w:val="0"/>
          <w:numId w:val="43"/>
        </w:numPr>
      </w:pPr>
      <w:r w:rsidRPr="00FD4019">
        <w:lastRenderedPageBreak/>
        <w:t>A charitable subscription or a marriage settlement is binding under Subsection (1) without proof that the promise induced action or forbearance.</w:t>
      </w:r>
    </w:p>
    <w:p w14:paraId="17892761" w14:textId="18F79402" w:rsidR="00874D19" w:rsidRPr="00A95E46" w:rsidRDefault="00874D19" w:rsidP="00A95E46">
      <w:pPr>
        <w:pStyle w:val="Notesnonumbers"/>
        <w:rPr>
          <w:rStyle w:val="NotesnonumbersChar"/>
        </w:rPr>
      </w:pPr>
      <w:r w:rsidRPr="00A95E46">
        <w:rPr>
          <w:rStyle w:val="NotesnonumbersChar"/>
        </w:rPr>
        <w:t>Restatement (Second) of Contracts § 90</w:t>
      </w:r>
      <w:r w:rsidR="00FD4019" w:rsidRPr="00A95E46">
        <w:rPr>
          <w:rStyle w:val="NotesnonumbersChar"/>
        </w:rPr>
        <w:t>.</w:t>
      </w:r>
      <w:r w:rsidR="00DA0A6D" w:rsidRPr="00A95E46">
        <w:rPr>
          <w:rStyle w:val="NotesnonumbersChar"/>
        </w:rPr>
        <w:t xml:space="preserve"> This provision, which was included in the First Restatement as well, is considered one of the most important contribution</w:t>
      </w:r>
      <w:r w:rsidR="000D6167" w:rsidRPr="00A95E46">
        <w:rPr>
          <w:rStyle w:val="NotesnonumbersChar"/>
        </w:rPr>
        <w:t>s</w:t>
      </w:r>
      <w:r w:rsidR="00DA0A6D" w:rsidRPr="00A95E46">
        <w:rPr>
          <w:rStyle w:val="NotesnonumbersChar"/>
        </w:rPr>
        <w:t xml:space="preserve"> of the Restatement to the development of contract law. Professor </w:t>
      </w:r>
      <w:r w:rsidR="00272645" w:rsidRPr="00A95E46">
        <w:rPr>
          <w:rStyle w:val="NotesnonumbersChar"/>
        </w:rPr>
        <w:t xml:space="preserve">Peter </w:t>
      </w:r>
      <w:r w:rsidR="00DA0A6D" w:rsidRPr="00A95E46">
        <w:rPr>
          <w:rStyle w:val="NotesnonumbersChar"/>
        </w:rPr>
        <w:t xml:space="preserve">Linzer, for example, called this inclusion “the most important event in twentieth century American contract law.” </w:t>
      </w:r>
      <w:r w:rsidR="00DA0A6D" w:rsidRPr="00A95E46">
        <w:rPr>
          <w:rStyle w:val="NotesnonumbersChar"/>
          <w:smallCaps/>
        </w:rPr>
        <w:t>Peter Linzer, A Contracts Anthology</w:t>
      </w:r>
      <w:r w:rsidR="00DA0A6D" w:rsidRPr="00A95E46">
        <w:rPr>
          <w:rStyle w:val="NotesnonumbersChar"/>
        </w:rPr>
        <w:t xml:space="preserve"> 221 (1989).</w:t>
      </w:r>
    </w:p>
    <w:p w14:paraId="7C168725" w14:textId="074B9DFE" w:rsidR="0064114B" w:rsidRPr="00FD4019" w:rsidRDefault="0064114B" w:rsidP="007E1344">
      <w:pPr>
        <w:pStyle w:val="ListParagraph"/>
        <w:numPr>
          <w:ilvl w:val="0"/>
          <w:numId w:val="0"/>
        </w:numPr>
        <w:ind w:left="720"/>
      </w:pPr>
      <w:r w:rsidRPr="00FD4019">
        <w:t xml:space="preserve">What </w:t>
      </w:r>
      <w:proofErr w:type="gramStart"/>
      <w:r w:rsidRPr="00FD4019">
        <w:t>are</w:t>
      </w:r>
      <w:proofErr w:type="gramEnd"/>
      <w:r w:rsidRPr="00FD4019">
        <w:t xml:space="preserve"> the elements of a promissory estoppel claim as articulated in the Restatement?</w:t>
      </w:r>
    </w:p>
    <w:p w14:paraId="42FBB28E" w14:textId="6CF5C493" w:rsidR="00D62B4A" w:rsidRPr="00FD4019" w:rsidRDefault="00D62B4A" w:rsidP="007E1344">
      <w:pPr>
        <w:pStyle w:val="ListParagraph"/>
      </w:pPr>
      <w:r w:rsidRPr="00FD4019">
        <w:t xml:space="preserve">What is the difference between a promissory estoppel claim and an equitable estoppel claim or a claim of estoppel in </w:t>
      </w:r>
      <w:proofErr w:type="spellStart"/>
      <w:r w:rsidRPr="00FD4019">
        <w:t>pais</w:t>
      </w:r>
      <w:proofErr w:type="spellEnd"/>
      <w:r w:rsidRPr="00FD4019">
        <w:t xml:space="preserve"> (the phrase used in </w:t>
      </w:r>
      <w:r w:rsidRPr="00FD4019">
        <w:rPr>
          <w:i/>
          <w:iCs/>
        </w:rPr>
        <w:t>Ricketts</w:t>
      </w:r>
      <w:r w:rsidRPr="00FD4019">
        <w:t>)?</w:t>
      </w:r>
    </w:p>
    <w:p w14:paraId="6A41AF2E" w14:textId="2B832FEB" w:rsidR="00D62B4A" w:rsidRPr="00FD4019" w:rsidRDefault="00D62B4A" w:rsidP="007E1344">
      <w:pPr>
        <w:pStyle w:val="ListParagraph"/>
      </w:pPr>
      <w:r w:rsidRPr="00FD4019">
        <w:t>How should a court distinguish between those cases where injustice can be avoided only by enforcement of the promise and those cases where it might be unjust to enforce the p</w:t>
      </w:r>
      <w:r w:rsidR="00C56BDD" w:rsidRPr="00FD4019">
        <w:t>romise</w:t>
      </w:r>
      <w:r w:rsidRPr="00FD4019">
        <w:t>?</w:t>
      </w:r>
    </w:p>
    <w:p w14:paraId="57485E9F" w14:textId="3A0F93AA" w:rsidR="00874D19" w:rsidRDefault="00874D19" w:rsidP="007E1344">
      <w:pPr>
        <w:pStyle w:val="ListParagraph"/>
      </w:pPr>
      <w:r w:rsidRPr="00FD4019">
        <w:t xml:space="preserve">Notice that the </w:t>
      </w:r>
      <w:r w:rsidR="000D6167">
        <w:t xml:space="preserve">Restatement states that the </w:t>
      </w:r>
      <w:r w:rsidRPr="00FD4019">
        <w:t xml:space="preserve">remedy in cases of promissory estoppel “may be limited as justice requires.” As a practical matter, courts often limit the remedies in promissory estoppel cases to reliance damages, aiming to put the plaintiff in as good of a position as if the promise </w:t>
      </w:r>
      <w:r w:rsidR="00272645">
        <w:t xml:space="preserve">was </w:t>
      </w:r>
      <w:r w:rsidRPr="00FD4019">
        <w:t xml:space="preserve">not made. That limitation does not exist for claims for breach of promises supported by consideration, where the common remedy is expectation damages, </w:t>
      </w:r>
      <w:r w:rsidR="00272645">
        <w:t xml:space="preserve">intending </w:t>
      </w:r>
      <w:r w:rsidRPr="00FD4019">
        <w:t xml:space="preserve">to give the plaintiff the full benefits of the promise. What is the remedy in </w:t>
      </w:r>
      <w:r w:rsidRPr="00FD4019">
        <w:rPr>
          <w:i/>
          <w:iCs/>
        </w:rPr>
        <w:t>Ricketts</w:t>
      </w:r>
      <w:r w:rsidRPr="00FD4019">
        <w:t xml:space="preserve">? Do you think that’s the right result? </w:t>
      </w:r>
    </w:p>
    <w:p w14:paraId="69C780E6" w14:textId="7BD7836C" w:rsidR="000D6167" w:rsidRPr="00FD4019" w:rsidRDefault="000D6167" w:rsidP="000D6167">
      <w:pPr>
        <w:jc w:val="center"/>
      </w:pPr>
      <w:r>
        <w:t>***</w:t>
      </w:r>
    </w:p>
    <w:bookmarkEnd w:id="1"/>
    <w:p w14:paraId="2BA0394A" w14:textId="77777777" w:rsidR="00FD4019" w:rsidRDefault="00FD4019" w:rsidP="007E1344">
      <w:pPr>
        <w:pStyle w:val="CaseName"/>
      </w:pPr>
      <w:r w:rsidRPr="00FD4019">
        <w:t xml:space="preserve">Congregation </w:t>
      </w:r>
      <w:proofErr w:type="spellStart"/>
      <w:r w:rsidRPr="00FD4019">
        <w:t>Kadimah</w:t>
      </w:r>
      <w:proofErr w:type="spellEnd"/>
      <w:r w:rsidRPr="00FD4019">
        <w:t xml:space="preserve"> Toras-Moshe v. DeLeo</w:t>
      </w:r>
    </w:p>
    <w:p w14:paraId="6A130271" w14:textId="57170AA4" w:rsidR="00D62B4A" w:rsidRDefault="00FD4019" w:rsidP="007E1344">
      <w:pPr>
        <w:pStyle w:val="Citation"/>
      </w:pPr>
      <w:r w:rsidRPr="00FD4019">
        <w:t>540 N.E.2d 691 (</w:t>
      </w:r>
      <w:r>
        <w:t>Ma</w:t>
      </w:r>
      <w:r w:rsidR="001F096F">
        <w:t>ssachusetts Supreme Judicial Court</w:t>
      </w:r>
      <w:r>
        <w:t xml:space="preserve"> </w:t>
      </w:r>
      <w:r w:rsidRPr="00FD4019">
        <w:t>1989)</w:t>
      </w:r>
    </w:p>
    <w:p w14:paraId="5DFBBF4A" w14:textId="77777777" w:rsidR="00FD4019" w:rsidRPr="00FD4019" w:rsidRDefault="00FD4019" w:rsidP="007E1344">
      <w:pPr>
        <w:pStyle w:val="JudgeName"/>
      </w:pPr>
      <w:r w:rsidRPr="00FD4019">
        <w:t>LIACOS, Chief Justice.</w:t>
      </w:r>
    </w:p>
    <w:p w14:paraId="7736C451" w14:textId="77777777" w:rsidR="00FD4019" w:rsidRPr="00FD4019" w:rsidRDefault="00FD4019" w:rsidP="007E1344">
      <w:r w:rsidRPr="00FD4019">
        <w:t xml:space="preserve">Congregation </w:t>
      </w:r>
      <w:proofErr w:type="spellStart"/>
      <w:r w:rsidRPr="00FD4019">
        <w:t>Kadimah</w:t>
      </w:r>
      <w:proofErr w:type="spellEnd"/>
      <w:r w:rsidRPr="00FD4019">
        <w:t xml:space="preserve"> Toras–Moshe (Congregation), an Orthodox Jewish synagogue, commenced this action in the Superior Court to compel the administrator of an estate (estate) to fulfil the oral promise of the decedent to give the Congregation $25,000. The Superior Court transferred the case to the Boston Municipal Court, which rendered summary judgment for the estate. The case was then transferred back to the Superior Court, which also rendered </w:t>
      </w:r>
      <w:r w:rsidRPr="00FD4019">
        <w:lastRenderedPageBreak/>
        <w:t>summary judgment for the estate and dismissed the Congregation’s complaint. We granted the Congregation’s application for direct appellate review. We now affirm.</w:t>
      </w:r>
    </w:p>
    <w:p w14:paraId="731E2DF4" w14:textId="77777777" w:rsidR="00FD4019" w:rsidRPr="00FD4019" w:rsidRDefault="00FD4019" w:rsidP="007E1344">
      <w:bookmarkStart w:id="4" w:name="co_pp_sp_521_366_1"/>
      <w:bookmarkEnd w:id="4"/>
      <w:r w:rsidRPr="00FD4019">
        <w:t xml:space="preserve">The facts are not contested. The decedent suffered a prolonged illness, throughout which he was visited by the Congregation’s spiritual leader, Rabbi Abraham </w:t>
      </w:r>
      <w:proofErr w:type="spellStart"/>
      <w:r w:rsidRPr="00FD4019">
        <w:t>Halbfinger</w:t>
      </w:r>
      <w:proofErr w:type="spellEnd"/>
      <w:r w:rsidRPr="00FD4019">
        <w:t xml:space="preserve">. During four or five of these visits, and in the presence of witnesses, the decedent made an oral promise to give the Congregation $25,000. The Congregation planned to use the $25,000 to transform a storage room in the synagogue into a library named after the decedent. The oral promise was never reduced to writing. The decedent died intestate in </w:t>
      </w:r>
      <w:proofErr w:type="gramStart"/>
      <w:r w:rsidRPr="00FD4019">
        <w:t>September,</w:t>
      </w:r>
      <w:proofErr w:type="gramEnd"/>
      <w:r w:rsidRPr="00FD4019">
        <w:t xml:space="preserve"> 1985. He had no </w:t>
      </w:r>
      <w:proofErr w:type="gramStart"/>
      <w:r w:rsidRPr="00FD4019">
        <w:t>children, but</w:t>
      </w:r>
      <w:proofErr w:type="gramEnd"/>
      <w:r w:rsidRPr="00FD4019">
        <w:t xml:space="preserve"> was survived by his wife.</w:t>
      </w:r>
    </w:p>
    <w:p w14:paraId="13D4FCAA" w14:textId="77777777" w:rsidR="00FD4019" w:rsidRDefault="00FD4019" w:rsidP="007E1344">
      <w:r w:rsidRPr="00FD4019">
        <w:t xml:space="preserve">The Congregation asserts that the decedent’s oral promise is an enforceable contract under our case law, because the promise is allegedly supported either by consideration and bargain, or by reliance. See </w:t>
      </w:r>
      <w:r w:rsidRPr="00FD4019">
        <w:rPr>
          <w:i/>
          <w:iCs/>
        </w:rPr>
        <w:t>Loranger Constr. Corp. v. E.F. Hauserman Co.</w:t>
      </w:r>
      <w:r w:rsidRPr="00FD4019">
        <w:t>, 376 Mass. 757, 761, 763, 384 N.E.2d 176 (1978) (distinguishing consideration and bargain from reliance in the absence of consideration). We disagree.</w:t>
      </w:r>
    </w:p>
    <w:p w14:paraId="639224FF" w14:textId="77777777" w:rsidR="00FD4019" w:rsidRDefault="00FD4019" w:rsidP="007E1344">
      <w:r w:rsidRPr="00FD4019">
        <w:t xml:space="preserve">The Superior Court judge determined that “[t]his was an oral gratuitous pledge, with no indication as to how the money should be used, or what [the Congregation] was required to do if anything in return for this promise.” There was no legal benefit to the promisor nor detriment to the </w:t>
      </w:r>
      <w:proofErr w:type="spellStart"/>
      <w:r w:rsidRPr="00FD4019">
        <w:t>promisee</w:t>
      </w:r>
      <w:proofErr w:type="spellEnd"/>
      <w:r w:rsidRPr="00FD4019">
        <w:t xml:space="preserve">, and thus no consideration. See </w:t>
      </w:r>
      <w:r w:rsidRPr="00FD4019">
        <w:rPr>
          <w:i/>
          <w:iCs/>
        </w:rPr>
        <w:t>Marine Contractors Co. v. Hurley</w:t>
      </w:r>
      <w:r w:rsidRPr="00FD4019">
        <w:t xml:space="preserve">, 365 Mass. 280, 286, 310 N.E.2d 915 (1974); </w:t>
      </w:r>
      <w:hyperlink r:id="rId8" w:history="1">
        <w:r w:rsidRPr="00FD4019">
          <w:rPr>
            <w:i/>
            <w:iCs/>
          </w:rPr>
          <w:t>Gishen v. Dura Corp</w:t>
        </w:r>
        <w:r w:rsidRPr="00FD4019">
          <w:t>., 362 Mass. 177, 186, 285 N.E.2d 117 (1972)</w:t>
        </w:r>
      </w:hyperlink>
      <w:r w:rsidRPr="00FD4019">
        <w:t xml:space="preserve"> (moral obligation is not legal obligation). Furthermore, there is no evidence in the record that the Congregation’s plans to name a library after the decedent induced him to make or to renew his promise. Contrast </w:t>
      </w:r>
      <w:bookmarkStart w:id="5" w:name="co_pp_sp_578_693_1"/>
      <w:bookmarkEnd w:id="5"/>
      <w:r w:rsidRPr="00FD4019">
        <w:rPr>
          <w:i/>
          <w:iCs/>
        </w:rPr>
        <w:t>Allegheny College v. National Chautauqua County Bank</w:t>
      </w:r>
      <w:r w:rsidRPr="00FD4019">
        <w:t>, 246 N.Y. 369, 377–379, 159 N.E. 173 (1927) (subscriber’s promise became binding when charity implicitly promised to commemorate subscriber).</w:t>
      </w:r>
    </w:p>
    <w:p w14:paraId="135ED4B4" w14:textId="77777777" w:rsidR="00FD4019" w:rsidRPr="00FD4019" w:rsidRDefault="00FD4019" w:rsidP="007E1344">
      <w:r w:rsidRPr="00FD4019">
        <w:t xml:space="preserve">As to the lack of reliance, the judge stated that the Congregation’s “allocation of $25,000 in its </w:t>
      </w:r>
      <w:proofErr w:type="gramStart"/>
      <w:r w:rsidRPr="00FD4019">
        <w:t>budget[</w:t>
      </w:r>
      <w:proofErr w:type="gramEnd"/>
      <w:r w:rsidRPr="00FD4019">
        <w:t xml:space="preserve">,] for the purpose of renovating a storage room, is insufficient to find reliance or an enforceable obligation.” We agree. The inclusion of the promised $25,000 in the budget, by itself, merely reduced to writing the Congregation’s expectation that it would have additional funds. A hope or expectation, even though well founded, is not equivalent to either legal detriment or reliance.  </w:t>
      </w:r>
    </w:p>
    <w:p w14:paraId="069FE14D" w14:textId="7643BA60" w:rsidR="00FD4019" w:rsidRDefault="00FD4019" w:rsidP="007E1344">
      <w:r w:rsidRPr="00FD4019">
        <w:t xml:space="preserve">The Congregation cites several of our cases in which charitable subscriptions were enforced. These cases are distinguishable because they involved written, as distinguished from oral, promises </w:t>
      </w:r>
      <w:proofErr w:type="gramStart"/>
      <w:r w:rsidRPr="00FD4019">
        <w:t>and also</w:t>
      </w:r>
      <w:proofErr w:type="gramEnd"/>
      <w:r w:rsidRPr="00FD4019">
        <w:t xml:space="preserve"> involved substantial consideration or reliance. See, e.g., </w:t>
      </w:r>
      <w:r w:rsidRPr="00FD4019">
        <w:rPr>
          <w:i/>
          <w:iCs/>
        </w:rPr>
        <w:t xml:space="preserve">Trustees of Amherst </w:t>
      </w:r>
      <w:r w:rsidRPr="00FD4019">
        <w:rPr>
          <w:i/>
          <w:iCs/>
        </w:rPr>
        <w:lastRenderedPageBreak/>
        <w:t>Academy v. Cowls</w:t>
      </w:r>
      <w:r w:rsidRPr="00FD4019">
        <w:t xml:space="preserve">, 6 Pick. 427, 434 (1828) (subscribers to written agreement could not withdraw “after the execution or during the progress of the work which they themselves set in motion”); </w:t>
      </w:r>
      <w:r w:rsidRPr="00FD4019">
        <w:rPr>
          <w:i/>
          <w:iCs/>
        </w:rPr>
        <w:t>Trustees of Farmington Academy v. Allen</w:t>
      </w:r>
      <w:r w:rsidRPr="00FD4019">
        <w:t xml:space="preserve">, 14 Mass. 172, 176 (1817) (trustees justifiably “proceed[ed] to incur expense, on the faith of the defendant’s subscription”).3 Conversely, in the case of </w:t>
      </w:r>
      <w:r w:rsidRPr="00FD4019">
        <w:rPr>
          <w:i/>
          <w:iCs/>
        </w:rPr>
        <w:t>Cottage St. Methodist Episcopal Church v. Kendall</w:t>
      </w:r>
      <w:r w:rsidRPr="00FD4019">
        <w:t xml:space="preserve">, 121 Mass. 528 </w:t>
      </w:r>
      <w:r>
        <w:t>(</w:t>
      </w:r>
      <w:r w:rsidRPr="00FD4019">
        <w:t>1877), we refused to enforce a promise in favor of a charity where there was no showing of any consideration or reliance.</w:t>
      </w:r>
    </w:p>
    <w:p w14:paraId="1F8D6C59" w14:textId="77777777" w:rsidR="00FD4019" w:rsidRPr="00FD4019" w:rsidRDefault="00FD4019" w:rsidP="007E1344">
      <w:r w:rsidRPr="00FD4019">
        <w:t xml:space="preserve">The Congregation asks us to abandon the requirement of consideration or reliance in the case of charitable subscriptions. The Congregation cites the Restatement (Second) of Contracts § 90 (1981), which provides, in subsection (2): “A charitable subscription ... is binding under Subsection (1) without proof that the promise induced action or forbearance.” Subsection (1), as modified in pertinent part by subsection (2), provides: “A promise which the promisor should reasonably expect to induce action or forbearance on the part of the </w:t>
      </w:r>
      <w:proofErr w:type="spellStart"/>
      <w:r w:rsidRPr="00FD4019">
        <w:t>promisee</w:t>
      </w:r>
      <w:proofErr w:type="spellEnd"/>
      <w:r w:rsidRPr="00FD4019">
        <w:t xml:space="preserve"> or a third person ... is binding if injustice can be avoided only by enforcement of the promise....”</w:t>
      </w:r>
    </w:p>
    <w:p w14:paraId="18321488" w14:textId="77777777" w:rsidR="00FD4019" w:rsidRPr="00FD4019" w:rsidRDefault="00FD4019" w:rsidP="007E1344">
      <w:pPr>
        <w:rPr>
          <w:rFonts w:eastAsia="MS Mincho" w:cs="Arial"/>
        </w:rPr>
      </w:pPr>
      <w:r w:rsidRPr="00FD4019">
        <w:rPr>
          <w:rFonts w:eastAsia="MS Mincho" w:cs="Arial"/>
        </w:rPr>
        <w:t xml:space="preserve">Assuming without deciding that this court would apply </w:t>
      </w:r>
      <w:hyperlink r:id="rId9" w:history="1">
        <w:r w:rsidRPr="00FD4019">
          <w:rPr>
            <w:rFonts w:eastAsia="MS Mincho" w:cs="Arial"/>
          </w:rPr>
          <w:t>§ 90</w:t>
        </w:r>
      </w:hyperlink>
      <w:r w:rsidRPr="00FD4019">
        <w:rPr>
          <w:rFonts w:eastAsia="MS Mincho" w:cs="Arial"/>
        </w:rPr>
        <w:t xml:space="preserve">, we are of the opinion that in this case there is no injustice in declining to enforce the decedent’s promise. Although </w:t>
      </w:r>
      <w:hyperlink r:id="rId10" w:history="1">
        <w:r w:rsidRPr="00FD4019">
          <w:rPr>
            <w:rFonts w:eastAsia="MS Mincho" w:cs="Arial"/>
          </w:rPr>
          <w:t>§ 90</w:t>
        </w:r>
      </w:hyperlink>
      <w:r w:rsidRPr="00FD4019">
        <w:rPr>
          <w:rFonts w:eastAsia="MS Mincho" w:cs="Arial"/>
        </w:rPr>
        <w:t xml:space="preserve"> dispenses with the absolute requirement of consideration or reliance, the official comments illustrate that these are relevant considerations. </w:t>
      </w:r>
      <w:hyperlink r:id="rId11" w:history="1">
        <w:r w:rsidRPr="00FD4019">
          <w:rPr>
            <w:rFonts w:eastAsia="MS Mincho" w:cs="Arial"/>
          </w:rPr>
          <w:t>Restatement (Second) of Contracts, supra at § 90</w:t>
        </w:r>
      </w:hyperlink>
      <w:r w:rsidRPr="00FD4019">
        <w:rPr>
          <w:rFonts w:eastAsia="MS Mincho" w:cs="Arial"/>
        </w:rPr>
        <w:t xml:space="preserve"> comment f. The promise to the Congregation </w:t>
      </w:r>
      <w:bookmarkStart w:id="6" w:name="co_pp_sp_578_694_1"/>
      <w:bookmarkEnd w:id="6"/>
      <w:r w:rsidRPr="00FD4019">
        <w:rPr>
          <w:rFonts w:eastAsia="MS Mincho" w:cs="Arial"/>
        </w:rPr>
        <w:t>is entirely unsupported by consideration or reliance.</w:t>
      </w:r>
      <w:bookmarkStart w:id="7" w:name="co_fnRef_B00441989106455_ID0EMRAE_1"/>
      <w:bookmarkEnd w:id="7"/>
      <w:r w:rsidRPr="00FD4019">
        <w:rPr>
          <w:rFonts w:eastAsia="MS Mincho" w:cs="Arial"/>
        </w:rPr>
        <w:t xml:space="preserve"> Furthermore, it is an oral promise sought to be enforced against an estate. To enforce such a promise would be against public policy.</w:t>
      </w:r>
      <w:bookmarkStart w:id="8" w:name="co_fnRef_B00551989106455_ID0EWRAE_1"/>
      <w:bookmarkEnd w:id="8"/>
      <w:r w:rsidRPr="00FD4019">
        <w:rPr>
          <w:rFonts w:eastAsia="MS Mincho" w:cs="Arial"/>
        </w:rPr>
        <w:t xml:space="preserve"> </w:t>
      </w:r>
    </w:p>
    <w:p w14:paraId="4E8999A3" w14:textId="533A0A8B" w:rsidR="00FD4019" w:rsidRDefault="00FD4019" w:rsidP="007E1344">
      <w:r w:rsidRPr="00FD4019">
        <w:t>Judgment affirmed.</w:t>
      </w:r>
    </w:p>
    <w:p w14:paraId="71435B06" w14:textId="4007DEAE" w:rsidR="00FD4019" w:rsidRPr="00FD4019" w:rsidRDefault="00FD4019" w:rsidP="007E1344">
      <w:pPr>
        <w:pStyle w:val="CaseName"/>
      </w:pPr>
      <w:r w:rsidRPr="00FD4019">
        <w:t xml:space="preserve">King v. Trustees of Boston University </w:t>
      </w:r>
    </w:p>
    <w:p w14:paraId="67DCAE59" w14:textId="73FA79F2" w:rsidR="00FD4019" w:rsidRPr="00FD4019" w:rsidRDefault="00FD4019" w:rsidP="007E1344">
      <w:pPr>
        <w:pStyle w:val="Citation"/>
      </w:pPr>
      <w:r w:rsidRPr="00FD4019">
        <w:t>647 N.E.2d 1196 (</w:t>
      </w:r>
      <w:r w:rsidR="007412EF">
        <w:t>Massachusetts Supreme Judicial Court</w:t>
      </w:r>
      <w:r>
        <w:t xml:space="preserve"> </w:t>
      </w:r>
      <w:r w:rsidRPr="00FD4019">
        <w:t>1995)</w:t>
      </w:r>
    </w:p>
    <w:p w14:paraId="74ECE5EE" w14:textId="77777777" w:rsidR="00FD4019" w:rsidRPr="00FD4019" w:rsidRDefault="00000000" w:rsidP="007E1344">
      <w:pPr>
        <w:pStyle w:val="JudgeName"/>
      </w:pPr>
      <w:hyperlink r:id="rId12" w:history="1">
        <w:r w:rsidR="00FD4019" w:rsidRPr="00FD4019">
          <w:t>ABRAMS</w:t>
        </w:r>
      </w:hyperlink>
      <w:r w:rsidR="00FD4019" w:rsidRPr="00FD4019">
        <w:t>, Justice.</w:t>
      </w:r>
    </w:p>
    <w:p w14:paraId="3FA002DB" w14:textId="77777777" w:rsidR="00FD4019" w:rsidRPr="00FD4019" w:rsidRDefault="00FD4019" w:rsidP="007E1344">
      <w:bookmarkStart w:id="9" w:name="co_anchor_Id2f6f89082ac11ed8636e1a02dc72"/>
      <w:bookmarkEnd w:id="9"/>
      <w:r w:rsidRPr="00FD4019">
        <w:t xml:space="preserve">A jury determined that Dr. Martin Luther King, Jr., made a charitable pledge to Boston University (BU) of certain papers he had deposited with BU. The plaintiff, Coretta Scott King, in her capacity as administratrix of the estate of her late husband, and in her individual capacity, appeals from that judgment. The plaintiff sued BU for conversion, alleging that the estate and not BU held title to Dr. King’s papers, which have been housed in BU’s library’s special collection since they were delivered to BU at Dr. King’s request in </w:t>
      </w:r>
      <w:proofErr w:type="gramStart"/>
      <w:r w:rsidRPr="00FD4019">
        <w:t>July,</w:t>
      </w:r>
      <w:proofErr w:type="gramEnd"/>
      <w:r w:rsidRPr="00FD4019">
        <w:t xml:space="preserve"> 1964.</w:t>
      </w:r>
    </w:p>
    <w:p w14:paraId="5462008C" w14:textId="352DAB8C" w:rsidR="00FD4019" w:rsidRPr="00FD4019" w:rsidRDefault="00FD4019" w:rsidP="007E1344">
      <w:r w:rsidRPr="00FD4019">
        <w:lastRenderedPageBreak/>
        <w:t xml:space="preserve">The case was submitted to the jury </w:t>
      </w:r>
      <w:r>
        <w:t>[which]</w:t>
      </w:r>
      <w:r w:rsidRPr="00FD4019">
        <w:t xml:space="preserve"> determined that Dr. King made a promise to give absolute title to his papers to BU in a letter signed by him and dated July 16, 1964, and that the promise to give the papers was enforceable as a charitable pledge supported by consideration or reliance. The jury also determined that the letter promising the papers was not a contract…. The trial judge denied the plaintiff’s motion for judgment notwithstanding the verdict or for a new trial. The plaintiff appealed. We granted the plaintiff’s application for direct appellate review. We affirm.</w:t>
      </w:r>
    </w:p>
    <w:p w14:paraId="187F55D2" w14:textId="77777777" w:rsidR="00FD4019" w:rsidRPr="00FD4019" w:rsidRDefault="00FD4019" w:rsidP="007E1344">
      <w:r w:rsidRPr="00FD4019">
        <w:t xml:space="preserve">I. Facts. In reviewing the judge’s denial of the plaintiff’s motion for directed verdict on the affirmative defense of charitable pledge, we summarize the evidence in a light </w:t>
      </w:r>
      <w:bookmarkStart w:id="10" w:name="co_pp_sp_521_54_1"/>
      <w:bookmarkEnd w:id="10"/>
      <w:r w:rsidRPr="00FD4019">
        <w:t>favorable to the nonmoving party, BU. In 1963, BU commenced plans to expand its library’s special collections. Once plans for construction of a library to house new holdings were firm, the newly appointed director of special collections, Dr. Howard Gotlieb, began his efforts to obtain Dr. King’s papers. Dr. King, an alumnus of BU’s graduate school program, was one of the first individuals BU officials sought to induce to deposit documents in the archives.</w:t>
      </w:r>
    </w:p>
    <w:p w14:paraId="3312F8B4" w14:textId="77777777" w:rsidR="00FD4019" w:rsidRPr="00FD4019" w:rsidRDefault="00FD4019" w:rsidP="007E1344">
      <w:r w:rsidRPr="00FD4019">
        <w:t>Around the same time, Dr. King was approached regarding his papers by other universities, including his undergraduate alma mater, Morehouse College. Mrs. King testified that, although her late husband thought “Boston seemed to be the only place, the best place, for safety,” he was concerned that depositing his papers with BU would evoke criticism that he was “taking them away from a black institution in the South.” However, the volatile circumstances during the 1960s in the South led Dr. King to deposit some of his papers with BU pursuant to a letter, which is the centerpiece of this litigation and is set forth herewith:</w:t>
      </w:r>
    </w:p>
    <w:p w14:paraId="10CFE071" w14:textId="63A672FC" w:rsidR="00FD4019" w:rsidRPr="007E1344" w:rsidRDefault="00FD4019" w:rsidP="007E1344">
      <w:pPr>
        <w:pStyle w:val="Blockquote1first"/>
        <w:spacing w:after="0"/>
      </w:pPr>
      <w:r w:rsidRPr="007E1344">
        <w:t>563 Johnson Ave. NE</w:t>
      </w:r>
    </w:p>
    <w:p w14:paraId="288D2F70" w14:textId="03962151" w:rsidR="00FD4019" w:rsidRPr="007E1344" w:rsidRDefault="00FD4019" w:rsidP="007E1344">
      <w:pPr>
        <w:pStyle w:val="Blockquote1first"/>
        <w:spacing w:before="0" w:after="0"/>
      </w:pPr>
      <w:r w:rsidRPr="007E1344">
        <w:t>Atlanta, Georgia</w:t>
      </w:r>
    </w:p>
    <w:p w14:paraId="7C7E24BB" w14:textId="77777777" w:rsidR="00FD4019" w:rsidRPr="007E1344" w:rsidRDefault="00FD4019" w:rsidP="007E1344">
      <w:pPr>
        <w:pStyle w:val="Blockquote1first"/>
        <w:spacing w:before="0"/>
      </w:pPr>
      <w:r w:rsidRPr="007E1344">
        <w:t>July 16, 1964</w:t>
      </w:r>
    </w:p>
    <w:p w14:paraId="0E541E56" w14:textId="3188C5E4" w:rsidR="00FD4019" w:rsidRPr="007E1344" w:rsidRDefault="00FD4019" w:rsidP="007E1344">
      <w:pPr>
        <w:pStyle w:val="Blockquote1first"/>
        <w:spacing w:after="0"/>
      </w:pPr>
      <w:bookmarkStart w:id="11" w:name="co_pp_sp_578_1199_1"/>
      <w:bookmarkEnd w:id="11"/>
      <w:r w:rsidRPr="007E1344">
        <w:t>Boston University Library</w:t>
      </w:r>
    </w:p>
    <w:p w14:paraId="4C1C7B38" w14:textId="77777777" w:rsidR="00FD4019" w:rsidRPr="007E1344" w:rsidRDefault="00FD4019" w:rsidP="007E1344">
      <w:pPr>
        <w:pStyle w:val="Blockquote1first"/>
        <w:spacing w:before="0" w:after="0"/>
      </w:pPr>
      <w:r w:rsidRPr="007E1344">
        <w:t>725 Commonwealth Ave.</w:t>
      </w:r>
    </w:p>
    <w:p w14:paraId="7BAFF319" w14:textId="77777777" w:rsidR="00FD4019" w:rsidRPr="007E1344" w:rsidRDefault="00FD4019" w:rsidP="007E1344">
      <w:pPr>
        <w:pStyle w:val="Blockquote1first"/>
        <w:spacing w:before="0"/>
      </w:pPr>
      <w:r w:rsidRPr="007E1344">
        <w:t>Boston 15, Massachusetts</w:t>
      </w:r>
    </w:p>
    <w:p w14:paraId="280E0B88" w14:textId="77777777" w:rsidR="00FD4019" w:rsidRPr="007E1344" w:rsidRDefault="00FD4019" w:rsidP="007E1344">
      <w:pPr>
        <w:pStyle w:val="Blockquote1first"/>
      </w:pPr>
      <w:r w:rsidRPr="007E1344">
        <w:t>Dear Sirs:</w:t>
      </w:r>
    </w:p>
    <w:p w14:paraId="3DDD2737" w14:textId="77777777" w:rsidR="00FD4019" w:rsidRPr="007E1344" w:rsidRDefault="00FD4019" w:rsidP="007E1344">
      <w:pPr>
        <w:pStyle w:val="Blockquote1first"/>
      </w:pPr>
      <w:r w:rsidRPr="007E1344">
        <w:t xml:space="preserve">On this 16th day of </w:t>
      </w:r>
      <w:proofErr w:type="gramStart"/>
      <w:r w:rsidRPr="007E1344">
        <w:t>July,</w:t>
      </w:r>
      <w:proofErr w:type="gramEnd"/>
      <w:r w:rsidRPr="007E1344">
        <w:t xml:space="preserve"> 1964, I name the Boston University Library the Repository of my correspondence, manuscripts and other papers, along with a few of my awards and other materials which may come to be of interest in historical or other research.</w:t>
      </w:r>
    </w:p>
    <w:p w14:paraId="68363568" w14:textId="77777777" w:rsidR="00FD4019" w:rsidRPr="007E1344" w:rsidRDefault="00FD4019" w:rsidP="007E1344">
      <w:pPr>
        <w:pStyle w:val="Blockquote1first"/>
      </w:pPr>
      <w:r w:rsidRPr="007E1344">
        <w:lastRenderedPageBreak/>
        <w:t xml:space="preserve">In accordance with this </w:t>
      </w:r>
      <w:proofErr w:type="gramStart"/>
      <w:r w:rsidRPr="007E1344">
        <w:t>action</w:t>
      </w:r>
      <w:proofErr w:type="gramEnd"/>
      <w:r w:rsidRPr="007E1344">
        <w:t xml:space="preserve"> I have authorized the removal of most of the above-mentioned papers and other objects to Boston University, including most correspondence through 1961, at once. It is my intention </w:t>
      </w:r>
      <w:bookmarkStart w:id="12" w:name="co_pp_sp_521_55_1"/>
      <w:bookmarkEnd w:id="12"/>
      <w:r w:rsidRPr="007E1344">
        <w:t>that after the end of each calendar year, similar files of materials for an additional year should be sent to Boston University.</w:t>
      </w:r>
    </w:p>
    <w:p w14:paraId="02ABBB1D" w14:textId="77777777" w:rsidR="00FD4019" w:rsidRPr="007E1344" w:rsidRDefault="00FD4019" w:rsidP="007E1344">
      <w:pPr>
        <w:pStyle w:val="Blockquote1first"/>
      </w:pPr>
      <w:r w:rsidRPr="007E1344">
        <w:t>All papers and other objects which thus pass into the custody of Boston University remain my legal property until otherwise indicated, according to the statements below. However, if, despite scrupulous care, any such materials are damaged or lost while in custody of Boston University, I absolve Boston University of responsibility to me for such damage or loss.</w:t>
      </w:r>
    </w:p>
    <w:p w14:paraId="11360355" w14:textId="77777777" w:rsidR="00FD4019" w:rsidRPr="007E1344" w:rsidRDefault="00FD4019" w:rsidP="007E1344">
      <w:pPr>
        <w:pStyle w:val="Blockquote1first"/>
      </w:pPr>
      <w:r w:rsidRPr="007E1344">
        <w:t>I intend each year to indicate a portion of the materials deposited with Boston University to become the absolute property of Boston University as an outright gift from me, until all shall have been thus given to the University. In the event of my death, all such materials deposited with the University shall become from that date the absolute property of Boston University.</w:t>
      </w:r>
    </w:p>
    <w:p w14:paraId="602A8568" w14:textId="77777777" w:rsidR="00FD4019" w:rsidRPr="007E1344" w:rsidRDefault="00FD4019" w:rsidP="007E1344">
      <w:pPr>
        <w:pStyle w:val="Blockquote1first"/>
      </w:pPr>
      <w:r w:rsidRPr="007E1344">
        <w:t>Sincerely yours,</w:t>
      </w:r>
    </w:p>
    <w:p w14:paraId="5157B976" w14:textId="77777777" w:rsidR="00FD4019" w:rsidRPr="007E1344" w:rsidRDefault="00FD4019" w:rsidP="007E1344">
      <w:pPr>
        <w:pStyle w:val="Blockquote1first"/>
      </w:pPr>
      <w:r w:rsidRPr="007E1344">
        <w:t>Martin Luther King, Jr. /s/”</w:t>
      </w:r>
    </w:p>
    <w:p w14:paraId="5A50B986" w14:textId="77777777" w:rsidR="00FD4019" w:rsidRPr="00FD4019" w:rsidRDefault="00FD4019" w:rsidP="007E1344">
      <w:r w:rsidRPr="00FD4019">
        <w:t>At issue is whether the evidence at trial was sufficient to submit the question of charitable pledge to the jury. BU asserts that the evidence was sufficient to raise a question of fact for the jury as to whether there was a promise by Dr. King to transfer title to his papers to BU and whether any such promise was supported by consideration or reliance by BU. We agree.</w:t>
      </w:r>
    </w:p>
    <w:p w14:paraId="64C5BB71" w14:textId="77777777" w:rsidR="00FD4019" w:rsidRPr="00FD4019" w:rsidRDefault="00FD4019" w:rsidP="007E1344">
      <w:r w:rsidRPr="00FD4019">
        <w:t>II. Evidence of an enforceable charitable pledge.</w:t>
      </w:r>
      <w:bookmarkStart w:id="13" w:name="co_fnRef_B00331995089442_ID0ELRAG_1"/>
      <w:bookmarkEnd w:id="13"/>
      <w:r w:rsidRPr="00FD4019">
        <w:t xml:space="preserve"> Because the jury found that BU had acquired rightful ownership of </w:t>
      </w:r>
      <w:bookmarkStart w:id="14" w:name="co_pp_sp_521_56_1"/>
      <w:bookmarkEnd w:id="14"/>
      <w:r w:rsidRPr="00FD4019">
        <w:t xml:space="preserve">the papers via a charitable pledge, but not a contract, we review the case on that basis. We note at the outset that there is scant Massachusetts case law </w:t>
      </w:r>
      <w:proofErr w:type="gramStart"/>
      <w:r w:rsidRPr="00FD4019">
        <w:t>in the area of</w:t>
      </w:r>
      <w:proofErr w:type="gramEnd"/>
      <w:r w:rsidRPr="00FD4019">
        <w:t xml:space="preserve"> charitable pledges and subscriptions.</w:t>
      </w:r>
    </w:p>
    <w:p w14:paraId="009D9064" w14:textId="63CCE643" w:rsidR="00FD4019" w:rsidRPr="00FD4019" w:rsidRDefault="00FD4019" w:rsidP="007E1344">
      <w:r w:rsidRPr="00FD4019">
        <w:t xml:space="preserve">A charitable subscription is “an oral or written promise to do certain acts or to give real or personal property to a charity or for a charitable purpose.” See generally E.L. Fisch, D.J. Freed, &amp; E.R. Schacter, Charities and Charitable Foundations § 63, at 77 (1974). To enforce a charitable subscription or a charitable pledge in Massachusetts, a party must establish that there was a promise to give some property to a charitable institution and that the promise was </w:t>
      </w:r>
      <w:r w:rsidRPr="00FD4019">
        <w:lastRenderedPageBreak/>
        <w:t xml:space="preserve">supported by consideration or reliance. Congregation </w:t>
      </w:r>
      <w:proofErr w:type="spellStart"/>
      <w:r w:rsidRPr="00FD4019">
        <w:t>Kadimah</w:t>
      </w:r>
      <w:proofErr w:type="spellEnd"/>
      <w:r w:rsidRPr="00FD4019">
        <w:t xml:space="preserve"> Toras–Moshe v. DeLeo, 405 Mass. 365, 367 &amp; n. 3, 540 N.E.2d 691 (1989), and cases cited therein.</w:t>
      </w:r>
      <w:bookmarkStart w:id="15" w:name="co_fnRef_B00441995089442_ID0EDWAG_1"/>
      <w:bookmarkEnd w:id="15"/>
      <w:r>
        <w:rPr>
          <w:rStyle w:val="FootnoteReference"/>
          <w:rFonts w:eastAsia="MS Mincho" w:cs="Arial"/>
        </w:rPr>
        <w:footnoteReference w:customMarkFollows="1" w:id="1"/>
        <w:t>4</w:t>
      </w:r>
      <w:r w:rsidRPr="00FD4019">
        <w:t xml:space="preserve">  </w:t>
      </w:r>
    </w:p>
    <w:p w14:paraId="4FB02E35" w14:textId="77777777" w:rsidR="00FD4019" w:rsidRPr="00FD4019" w:rsidRDefault="00FD4019" w:rsidP="007E1344">
      <w:r w:rsidRPr="00FD4019">
        <w:t>The jurors were asked two special questions regarding BU’s affirmative defense of rightful ownership by way of a charitable pledge: (1) “Does the letter, dated July 16, 1964, from Martin Luther King, Jr., to [BU], set forth a promise by Dr. King to transfer ownership of his papers to [BU]?”; and (2) “Did [BU] take action in reliance on that promise or was that promise supported by consideration?” In determining whether the case properly was submitted to the jury, we consider first, whether the evidence was sufficient to sustain a conclusion that the letter contained a promise to make a gift and second, whether the evidence was sufficient to support a determination that any promise found was supported by consideration or reliance.</w:t>
      </w:r>
    </w:p>
    <w:p w14:paraId="42BD0D00" w14:textId="15D9AE9D" w:rsidR="00FD4019" w:rsidRDefault="00FD4019" w:rsidP="007E1344">
      <w:r>
        <w:t>[The court find</w:t>
      </w:r>
      <w:r w:rsidR="000D6167">
        <w:t>s</w:t>
      </w:r>
      <w:r>
        <w:t xml:space="preserve"> that the letter includes a promise “</w:t>
      </w:r>
      <w:r w:rsidRPr="00FD4019">
        <w:t>to make a gift of all of the papers deposited with it at some point between the first day of deposit and at the very latest, on Dr. King’s death.</w:t>
      </w:r>
      <w:r>
        <w:t>”]</w:t>
      </w:r>
    </w:p>
    <w:p w14:paraId="1BF85F0D" w14:textId="39A2D856" w:rsidR="00FD4019" w:rsidRPr="00FD4019" w:rsidRDefault="00FD4019" w:rsidP="007E1344">
      <w:r w:rsidRPr="00FD4019">
        <w:rPr>
          <w:i/>
          <w:iCs/>
        </w:rPr>
        <w:t>Evidence of consideration or reliance</w:t>
      </w:r>
      <w:r w:rsidRPr="00FD4019">
        <w:t>. The judge did not err in submitting the second question on charitable pledge, regarding whether there was consideration for or reliance on the promise, to the jury</w:t>
      </w:r>
      <w:r>
        <w:t>….</w:t>
      </w:r>
      <w:r w:rsidRPr="00FD4019">
        <w:t xml:space="preserve"> There was evidence that BU undertook indexing of the papers, made the papers available to researchers, and provided trained staff to care for the papers and assist researchers. BU held a convocation to commemorate receipt of the papers. Dr. King spoke at the convocation. In a speech at that time, he explained why he chose BU as the repository for his papers.</w:t>
      </w:r>
    </w:p>
    <w:p w14:paraId="5180D794" w14:textId="690A044D" w:rsidR="00FD4019" w:rsidRPr="00FD4019" w:rsidRDefault="00FD4019" w:rsidP="007E1344">
      <w:r w:rsidRPr="00FD4019">
        <w:t xml:space="preserve">As we explained above, the letter established that so long as BU, as bailee, attended the papers with “scrupulous care,” Dr. King, as bailor, would release them from liability for “any such materials ... damaged or lost while in [its] custody.” The jury could conclude that certain actions of BU, including indexing of the papers, went beyond the obligations BU assumed as a bailee to attend the papers with “scrupulous care” and constituted reliance or consideration for the </w:t>
      </w:r>
      <w:r w:rsidRPr="00FD4019">
        <w:lastRenderedPageBreak/>
        <w:t>promises Dr. King included in the letter to transfer ownership of all bailed papers to BU at some future date or at his death</w:t>
      </w:r>
      <w:r>
        <w:t>….</w:t>
      </w:r>
    </w:p>
    <w:p w14:paraId="2FAEA746" w14:textId="6D9C1A0E" w:rsidR="00FD4019" w:rsidRDefault="00FD4019" w:rsidP="007E1344">
      <w:r w:rsidRPr="00FD4019">
        <w:t xml:space="preserve">The issue before us is not whether we agree with the jury’s verdict but whether the case was properly submitted to the jury. We conclude that the letter could have been read to contain a promise supported by consideration or reliance; “[t]he issue [of whether transfer of ownership to BU was transferred by way of a charitable pledge by Dr. King] was, therefore, properly submitted to the jury, and their verdicts, unless otherwise untenable, must stand.” Carr v. Arthur D. Little, Inc., 348 Mass. 469, 474, 204 N.E.2d 466 (1965) (evidence sufficient as matter of contract law to raise question of fact for jury as to existence of common </w:t>
      </w:r>
      <w:proofErr w:type="gramStart"/>
      <w:r w:rsidRPr="00FD4019">
        <w:t>employment)</w:t>
      </w:r>
      <w:r>
        <w:t>…</w:t>
      </w:r>
      <w:proofErr w:type="gramEnd"/>
      <w:r>
        <w:t>.</w:t>
      </w:r>
    </w:p>
    <w:p w14:paraId="4AA884D0" w14:textId="77777777" w:rsidR="00FD4019" w:rsidRPr="00FD4019" w:rsidRDefault="00FD4019" w:rsidP="007E1344">
      <w:r w:rsidRPr="00FD4019">
        <w:t>Judgment affirmed.</w:t>
      </w:r>
    </w:p>
    <w:p w14:paraId="02238CE9" w14:textId="77777777" w:rsidR="00FD4019" w:rsidRPr="00FD4019" w:rsidRDefault="00FD4019" w:rsidP="001A1CFB">
      <w:pPr>
        <w:pStyle w:val="Questions"/>
      </w:pPr>
      <w:r w:rsidRPr="00FD4019">
        <w:t>Notes and Questions</w:t>
      </w:r>
    </w:p>
    <w:p w14:paraId="43DC84AD" w14:textId="214C62B0" w:rsidR="00FD4019" w:rsidRDefault="00FD4019" w:rsidP="00D518C4">
      <w:pPr>
        <w:pStyle w:val="ListParagraph"/>
        <w:numPr>
          <w:ilvl w:val="0"/>
          <w:numId w:val="45"/>
        </w:numPr>
      </w:pPr>
      <w:r>
        <w:t xml:space="preserve">Is the decision in </w:t>
      </w:r>
      <w:r w:rsidRPr="00D518C4">
        <w:rPr>
          <w:i/>
          <w:iCs/>
        </w:rPr>
        <w:t>King</w:t>
      </w:r>
      <w:r>
        <w:t xml:space="preserve"> best explained under the doctrine of consideration o</w:t>
      </w:r>
      <w:r w:rsidR="00272645">
        <w:t>r</w:t>
      </w:r>
      <w:r>
        <w:t xml:space="preserve"> reliance? Can you explain the difference between it and </w:t>
      </w:r>
      <w:r w:rsidRPr="00D518C4">
        <w:rPr>
          <w:i/>
          <w:iCs/>
        </w:rPr>
        <w:t>DeLeo</w:t>
      </w:r>
      <w:r>
        <w:t xml:space="preserve">? </w:t>
      </w:r>
    </w:p>
    <w:p w14:paraId="75894637" w14:textId="151D4648" w:rsidR="00FD4019" w:rsidRDefault="00FD4019" w:rsidP="00D518C4">
      <w:pPr>
        <w:pStyle w:val="ListParagraph"/>
      </w:pPr>
      <w:r w:rsidRPr="007E1344">
        <w:rPr>
          <w:rFonts w:eastAsia="MS Mincho" w:cs="Arial"/>
        </w:rPr>
        <w:t xml:space="preserve">Both courts mentioned that under </w:t>
      </w:r>
      <w:r w:rsidRPr="00FD4019">
        <w:t>Restatement (Second) of Contracts § 90</w:t>
      </w:r>
      <w:r>
        <w:t>(2)</w:t>
      </w:r>
      <w:r w:rsidR="00272645">
        <w:t>,</w:t>
      </w:r>
      <w:r>
        <w:t xml:space="preserve"> “a</w:t>
      </w:r>
      <w:r w:rsidRPr="00FD4019">
        <w:t xml:space="preserve"> charitable subscription</w:t>
      </w:r>
      <w:r>
        <w:t xml:space="preserve"> … is binding … </w:t>
      </w:r>
      <w:r w:rsidRPr="00FD4019">
        <w:t>without proof that the promise induced action or forbearance</w:t>
      </w:r>
      <w:r>
        <w:t xml:space="preserve">,” but they refused to adopt this rule. While there is limited caselaw on this matter, </w:t>
      </w:r>
      <w:r w:rsidR="00DA0A6D">
        <w:t xml:space="preserve">most courts </w:t>
      </w:r>
      <w:r>
        <w:t>similarly rejected this proposed rule. What can be the argument</w:t>
      </w:r>
      <w:r w:rsidR="00DA0A6D">
        <w:t>s</w:t>
      </w:r>
      <w:r>
        <w:t xml:space="preserve"> for and against </w:t>
      </w:r>
      <w:r w:rsidR="00272645">
        <w:t>the Restatement’s approach</w:t>
      </w:r>
      <w:r>
        <w:t>?</w:t>
      </w:r>
    </w:p>
    <w:p w14:paraId="78947FDA" w14:textId="2B4FF798" w:rsidR="00DA0A6D" w:rsidRPr="00FD4019" w:rsidRDefault="00462812" w:rsidP="00D518C4">
      <w:pPr>
        <w:pStyle w:val="ListParagraph"/>
      </w:pPr>
      <w:r>
        <w:t>Although courts are generally unwilling to waive the requirement of consideration or reliance, they have shown flexibility in cases involving charitable organizations seeking to enforce pledges. A notable example is Judge Cardozo</w:t>
      </w:r>
      <w:r w:rsidR="00272645">
        <w:t>’</w:t>
      </w:r>
      <w:r>
        <w:t xml:space="preserve">s opinion for the New York Court of Appeals in </w:t>
      </w:r>
      <w:r>
        <w:rPr>
          <w:rStyle w:val="Emphasis"/>
        </w:rPr>
        <w:t>Allegheny College v. National Chautauqua County Bank</w:t>
      </w:r>
      <w:r>
        <w:t>, 159 N.E. 173 (1927), where he upheld a donor</w:t>
      </w:r>
      <w:r w:rsidR="00272645">
        <w:t>’</w:t>
      </w:r>
      <w:r>
        <w:t>s promise to support a college after her death, even though she had revoked it during her lifetime. Cardozo reasoned that the college’s implied promise to memorialize the donor’s name provided sufficient consideration. In dicta (</w:t>
      </w:r>
      <w:r w:rsidRPr="00FD4019">
        <w:t>a statement that is not necessary to the court</w:t>
      </w:r>
      <w:r w:rsidR="00272645">
        <w:t>’</w:t>
      </w:r>
      <w:r w:rsidRPr="00FD4019">
        <w:t>s decision and, therefore, is not legally binding as precedent</w:t>
      </w:r>
      <w:r>
        <w:t>), he also suggested that promissory estoppel could apply to enforce promises when a charity relies on them, noting that public policy supports the enforceability of such charitable commitments.</w:t>
      </w:r>
    </w:p>
    <w:p w14:paraId="4CDF5099" w14:textId="02C82C34" w:rsidR="00FD4019" w:rsidRDefault="00DA0A6D" w:rsidP="007E1344">
      <w:pPr>
        <w:jc w:val="center"/>
      </w:pPr>
      <w:r>
        <w:t>***</w:t>
      </w:r>
    </w:p>
    <w:p w14:paraId="48B63083" w14:textId="50E16F92" w:rsidR="00DA0A6D" w:rsidRDefault="00DA0A6D" w:rsidP="007E1344">
      <w:r>
        <w:lastRenderedPageBreak/>
        <w:t xml:space="preserve">In the cases we saw so far promissory estoppel was used to enforce promises that lacked consideration. For that reason, promissory estoppel is often called </w:t>
      </w:r>
      <w:r w:rsidR="00272645">
        <w:t xml:space="preserve">a </w:t>
      </w:r>
      <w:r>
        <w:t>“consideration substitute.” But, under some circumstances, promissory estoppel can be used in other context</w:t>
      </w:r>
      <w:r w:rsidR="00272645">
        <w:t>s</w:t>
      </w:r>
      <w:r>
        <w:t xml:space="preserve">, when a claim for a breach of contract is unavailable for reasons other than the lack of consideration. The next case exemplifies this use of promissory estoppel. </w:t>
      </w:r>
    </w:p>
    <w:p w14:paraId="7BDBC3A5" w14:textId="77777777" w:rsidR="00DA0A6D" w:rsidRPr="004276A3" w:rsidRDefault="00DA0A6D" w:rsidP="007E1344">
      <w:pPr>
        <w:pStyle w:val="CaseName"/>
      </w:pPr>
      <w:bookmarkStart w:id="16" w:name="_Hlk126235862"/>
      <w:r>
        <w:t>Stewart v. Cendant Mobility Services Corp.</w:t>
      </w:r>
    </w:p>
    <w:p w14:paraId="38ED8741" w14:textId="77777777" w:rsidR="00DA0A6D" w:rsidRPr="000A06A0" w:rsidRDefault="00DA0A6D" w:rsidP="007E1344">
      <w:pPr>
        <w:pStyle w:val="Citation"/>
      </w:pPr>
      <w:r w:rsidRPr="008670AE">
        <w:t>837 A.2d 736</w:t>
      </w:r>
      <w:r>
        <w:t xml:space="preserve"> (Connecticut Supreme Court 2003)</w:t>
      </w:r>
    </w:p>
    <w:bookmarkEnd w:id="16"/>
    <w:p w14:paraId="13D31A3B" w14:textId="77777777" w:rsidR="00DA0A6D" w:rsidRPr="007E1344" w:rsidRDefault="00DA0A6D" w:rsidP="007E1344">
      <w:pPr>
        <w:pStyle w:val="JudgesName"/>
      </w:pPr>
      <w:r w:rsidRPr="007E1344">
        <w:t>PALMER, Justice.</w:t>
      </w:r>
    </w:p>
    <w:p w14:paraId="24A20873" w14:textId="77777777" w:rsidR="00DA0A6D" w:rsidRDefault="00DA0A6D" w:rsidP="007E1344">
      <w:r>
        <w:t xml:space="preserve">This appeal arises out of an action brought by the plaintiff, Elizabeth M. Stewart, against the defendant, Cendant Mobility Services Corporation (Cendant), her former employer, for damages resulting from Cendant’s allegedly wrongful termination of her employment. Following a trial, a jury returned a verdict in part for the plaintiff, finding in her favor on her claims of promissory estoppel and negligent misrepresentation and awarding her $850,000 on those claims. The trial court rendered judgment in accordance with the jury verdict from which Cendant appeals. On appeal, Cendant claims that the evidence was insufficient to support the jury’s verdict. We conclude that there was sufficient evidence from which the jury reasonably could have found for the plaintiff on her promissory estoppel claim. Because the jury’s award of $850,000 is sustainable </w:t>
      </w:r>
      <w:proofErr w:type="gramStart"/>
      <w:r>
        <w:t>on the basis of</w:t>
      </w:r>
      <w:proofErr w:type="gramEnd"/>
      <w:r>
        <w:t xml:space="preserve"> that claim alone, we need not reach Cendant’s claim that the evidence was insufficient to support the jury’s verdict with respect to the plaintiff’s negligent misrepresentation claim. Accordingly, we affirm the judgment of the trial court.</w:t>
      </w:r>
    </w:p>
    <w:p w14:paraId="772AF466" w14:textId="77777777" w:rsidR="00DA0A6D" w:rsidRDefault="00DA0A6D" w:rsidP="007E1344">
      <w:r>
        <w:t>The jury reasonably could have found the following facts. The plaintiff and her husband were employed by Cendant, which provides relocation services to domestic and international corporations and their employees. Among other things, Cendant assists its corporate clients in finding new homes for their relocating employees and in selling those employees’ old homes. The plaintiff worked in the sales division and was considered one of the top producers in the relocation services industry. The plaintiff’s husband was an executive in the operations division at Cendant.</w:t>
      </w:r>
    </w:p>
    <w:p w14:paraId="45EED7FA" w14:textId="77777777" w:rsidR="00DA0A6D" w:rsidRDefault="00DA0A6D" w:rsidP="007E1344">
      <w:r>
        <w:t xml:space="preserve">In </w:t>
      </w:r>
      <w:proofErr w:type="gramStart"/>
      <w:r>
        <w:t>April,</w:t>
      </w:r>
      <w:proofErr w:type="gramEnd"/>
      <w:r>
        <w:t xml:space="preserve"> 1998, Cendant underwent a major corporate reorganization. Soon thereafter, Cendant terminated the plaintiff’s husband from employment. At the time of her husband’s termination, the plaintiff held the position of vice president of sales.</w:t>
      </w:r>
    </w:p>
    <w:p w14:paraId="76E07373" w14:textId="77777777" w:rsidR="00DA0A6D" w:rsidRDefault="00DA0A6D" w:rsidP="007E1344">
      <w:r>
        <w:t xml:space="preserve">Because the plaintiff believed that her husband was likely to seek employment with one of Cendant’s competitors in the relocation services field, she spoke with James Simon, Cendant’s executive vice president of sales and the plaintiff’s immediate supervisor, about the matter </w:t>
      </w:r>
      <w:r>
        <w:lastRenderedPageBreak/>
        <w:t xml:space="preserve">shortly after her husband’s termination. The plaintiff explained to Simon that she was concerned about how her employment with Cendant might be affected if her husband ultimately accepted a position with a competitor. Simon told the plaintiff that she should not be concerned and that her husband’s reemployment in the relocation services business would have no bearing on her employment with Cendant. Simon further represented to the plaintiff that Kevin Kelleher, Cendant’s president and chief executive officer, also wished to assure the plaintiff that she had no reason to be concerned about her continued status as a highly valued employee </w:t>
      </w:r>
      <w:proofErr w:type="gramStart"/>
      <w:r>
        <w:t>in the event that</w:t>
      </w:r>
      <w:proofErr w:type="gramEnd"/>
      <w:r>
        <w:t xml:space="preserve"> her husband were to become associated with a competitor. </w:t>
      </w:r>
      <w:proofErr w:type="gramStart"/>
      <w:r>
        <w:t>On the basis of</w:t>
      </w:r>
      <w:proofErr w:type="gramEnd"/>
      <w:r>
        <w:t xml:space="preserve"> Simon’s assurances, the plaintiff continued in her position with Cendant and did not pursue other employment opportunities.</w:t>
      </w:r>
    </w:p>
    <w:p w14:paraId="1BB9F69E" w14:textId="77777777" w:rsidR="00DA0A6D" w:rsidRDefault="00DA0A6D" w:rsidP="007E1344">
      <w:r>
        <w:t>On or about March 5, 1999, Cendant learned that the plaintiff’s husband was performing consulting services for a competing firm. Upon obtaining this information, Cendant reduced the plaintiff’s duties and limited her interaction with clients. Cendant also requested that the plaintiff verbally agree to the provisions of a document drafted by Cendant that purported to delineate her obligations to Cendant in relation to her husband’s work on behalf of any competitor of Cendant. On June 11, 1999, Cendant allegedly terminated the plaintiff’s employment when she declined to agree to the provisions of that document.</w:t>
      </w:r>
    </w:p>
    <w:p w14:paraId="4836DE58" w14:textId="77777777" w:rsidR="00DA0A6D" w:rsidRDefault="00DA0A6D" w:rsidP="007E1344">
      <w:r>
        <w:t xml:space="preserve">Thereafter, the plaintiff commenced this action against Cendant. In count one of her </w:t>
      </w:r>
      <w:proofErr w:type="gramStart"/>
      <w:r>
        <w:t>complaint</w:t>
      </w:r>
      <w:proofErr w:type="gramEnd"/>
      <w:r>
        <w:t>, the plaintiff alleged [inter alia] that she had relied to her detriment on Simon’s promise that her employment with Cendant would not be affected adversely by her husband’s probable future employment with a competitor.</w:t>
      </w:r>
    </w:p>
    <w:p w14:paraId="7BFCB2BA" w14:textId="77777777" w:rsidR="00DA0A6D" w:rsidRDefault="00DA0A6D" w:rsidP="007E1344">
      <w:r>
        <w:t xml:space="preserve">Following a trial, the jury returned a verdict in favor of Cendant with respect to the plaintiff’s claims of breach of contract and breach of an implied covenant of good faith and fair dealing. The jury returned a verdict in favor of the plaintiff with respect to her claims of promissory estoppel and negligent misrepresentation and awarded her $850,000. Cendant filed motions to set aside the verdict and for judgment notwithstanding the verdict on the promissory estoppel and negligent misrepresentation claims, contending that the evidence was insufficient to support the jury’s verdict in favor of the plaintiff on those claims. The trial court denied Cendant’s </w:t>
      </w:r>
      <w:proofErr w:type="spellStart"/>
      <w:r>
        <w:t>postverdict</w:t>
      </w:r>
      <w:proofErr w:type="spellEnd"/>
      <w:r>
        <w:t xml:space="preserve"> motions and rendered judgment in accordance with the jury’s verdict, from which Cendant appealed.</w:t>
      </w:r>
    </w:p>
    <w:p w14:paraId="286184D4" w14:textId="77777777" w:rsidR="00DA0A6D" w:rsidRDefault="00DA0A6D" w:rsidP="007E1344">
      <w:r>
        <w:t xml:space="preserve">… Cendant’s contention is essentially twofold. First, Cendant claims that its purported promise to the plaintiff lacked the requisite clarity and definiteness necessary to establish promissory estoppel. Second, Cendant claims that the plaintiff failed to present evidence sufficient to establish that she had relied to her detriment on any such promise. We reject </w:t>
      </w:r>
      <w:proofErr w:type="gramStart"/>
      <w:r>
        <w:t xml:space="preserve">both </w:t>
      </w:r>
      <w:r>
        <w:lastRenderedPageBreak/>
        <w:t>of these</w:t>
      </w:r>
      <w:proofErr w:type="gramEnd"/>
      <w:r>
        <w:t xml:space="preserve"> claims and, therefore, affirm the judgment of the trial court inasmuch as the jury award of $850,000 is sustainable on the basis of the plaintiff’s promissory estoppel claim….</w:t>
      </w:r>
    </w:p>
    <w:p w14:paraId="40318B36" w14:textId="77777777" w:rsidR="00DA0A6D" w:rsidRPr="00A95E46" w:rsidRDefault="00DA0A6D" w:rsidP="00A95E46">
      <w:pPr>
        <w:pStyle w:val="Internalheading"/>
      </w:pPr>
      <w:r w:rsidRPr="00A95E46">
        <w:t>I</w:t>
      </w:r>
    </w:p>
    <w:p w14:paraId="47B67A6C" w14:textId="77777777" w:rsidR="00DA0A6D" w:rsidRDefault="00DA0A6D" w:rsidP="007E1344">
      <w:r>
        <w:t>Cendant first contends that the jury reasonably could not have found that Simon’s representations to the plaintiff were sufficiently clear and definite to constitute a promise for purposes of a claim of promissory estoppel. We disagree.</w:t>
      </w:r>
    </w:p>
    <w:p w14:paraId="3E8358FA" w14:textId="77777777" w:rsidR="00DA0A6D" w:rsidRDefault="00DA0A6D" w:rsidP="007E1344">
      <w:r>
        <w:t>The following additional evidence and procedural history are necessary to our resolution of this issue. On direct examination, the plaintiff testified that, after her husband was fired, she became concerned that his termination and likely reemployment in the relocation services industry adversely would affect her employment with Cendant. The plaintiff testified that she “specifically asked [Simon] what would happen [to her] if [her husband competed] in the industry.” According to the plaintiff, Simon replied that “he had absolutely no concerns about [her husband] entering the marketplace.” The plaintiff also testified that Simon told her that “he had tremendous respect for both [the plaintiff] and [the plaintiff’s husband and] that [they] had a lot of integrity.” The plaintiff testified further that Simon told her that “[h]e had trust and faith in [her] and in [the plaintiff’s husband] and he knew that [they] would be able to keep [their] lives separate and [that] he had absolutely no concerns about [her husband] entering the marketplace.” According to the plaintiff, Simon “said that he would talk to [Kelleher] on her behalf ... [and] assured [her] that this was not going to be a problem and that [she] was a highly valued employee and there was nothing to worry about.”</w:t>
      </w:r>
    </w:p>
    <w:p w14:paraId="4FF93D32" w14:textId="77777777" w:rsidR="00DA0A6D" w:rsidRDefault="00DA0A6D" w:rsidP="007E1344">
      <w:r>
        <w:t>The plaintiff further explained that Simon thereafter reported to her that “he had spoken to [Kelleher] about [her] concerns and that [Kelleher] wanted [Simon] to assure [her] that [she] was very highly valued, that [she] was an integral part of the company, [that] he had tremendous respect for [her] integrity and [that] there were no problems whatsoever with [the plaintiff] continuing the job in the event [that her husband] competed.” On cross-examination, the plaintiff acknowledged that when she and Simon spoke, they were discussing a hypothetical future occurrence because she was not certain whether her husband would join another relocation services company. The plaintiff further testified on cross-examination that she did not believe that she was negotiating an employment contract when she spoke with Simon.</w:t>
      </w:r>
    </w:p>
    <w:p w14:paraId="27AD80DB" w14:textId="77777777" w:rsidR="00DA0A6D" w:rsidRDefault="00DA0A6D" w:rsidP="007E1344">
      <w:r>
        <w:t xml:space="preserve">At the conclusion of the court’s instructions to the jury, the jury was provided with a special verdict form containing interrogatories relating to each of the plaintiff’s claims. With respect to the plaintiff’s breach of contract claim, the jury was asked, inter alia, whether it found that </w:t>
      </w:r>
      <w:r>
        <w:lastRenderedPageBreak/>
        <w:t>Cendant had “made a definite offer sufficient to form a contractual agreement with the plaintiff” The jury answered no. With respect to the plaintiff’s promissory estoppel claim, the jury was asked, inter alia, whether it found that Cendant had “made a clear, definite promise to [the plaintiff] ... upon which it should have expected she would rely” The jury responded in the affirmative.</w:t>
      </w:r>
    </w:p>
    <w:p w14:paraId="4635154B" w14:textId="77777777" w:rsidR="00DA0A6D" w:rsidRDefault="00DA0A6D" w:rsidP="007E1344">
      <w:r>
        <w:t xml:space="preserve">… A fundamental element of promissory estoppel, therefore, is the existence of a clear and definite promise which a promisor could reasonably have expected to induce reliance. Thus, a promisor is not liable to a </w:t>
      </w:r>
      <w:proofErr w:type="spellStart"/>
      <w:r>
        <w:t>promisee</w:t>
      </w:r>
      <w:proofErr w:type="spellEnd"/>
      <w:r>
        <w:t xml:space="preserve"> who has relied on a promise if, judged by an objective standard, he had no reason to expect any reliance at all.” (Citations omitted; internal quotation marks omitted.) </w:t>
      </w:r>
      <w:proofErr w:type="spellStart"/>
      <w:r w:rsidRPr="005D7C93">
        <w:rPr>
          <w:i/>
          <w:iCs/>
        </w:rPr>
        <w:t>D</w:t>
      </w:r>
      <w:r>
        <w:rPr>
          <w:i/>
          <w:iCs/>
        </w:rPr>
        <w:t>’</w:t>
      </w:r>
      <w:r w:rsidRPr="005D7C93">
        <w:rPr>
          <w:i/>
          <w:iCs/>
        </w:rPr>
        <w:t>Ulisse</w:t>
      </w:r>
      <w:proofErr w:type="spellEnd"/>
      <w:r w:rsidRPr="005D7C93">
        <w:rPr>
          <w:i/>
          <w:iCs/>
        </w:rPr>
        <w:t>–Cupo v. Board of Directors of Notre Dame High School</w:t>
      </w:r>
      <w:r>
        <w:t>, 202 Conn. 206, 213, 520 A.2d 217 (1987).</w:t>
      </w:r>
    </w:p>
    <w:p w14:paraId="7D7EBFE0" w14:textId="77777777" w:rsidR="00DA0A6D" w:rsidRDefault="00DA0A6D" w:rsidP="007E1344">
      <w:r>
        <w:t xml:space="preserve">Although the promise must be clear and definite, it need not be the equivalent of an offer to </w:t>
      </w:r>
      <w:proofErr w:type="gramStart"/>
      <w:r>
        <w:t>enter into</w:t>
      </w:r>
      <w:proofErr w:type="gramEnd"/>
      <w:r>
        <w:t xml:space="preserve"> a contract because “[t]he prerequisite for application [of the doctrine of promissory estoppel] is a promise and not a bargain and not an offer.” … This, of course, is consistent with the principle that, although “[a]n offer is nearly always a promise”; 1 E. Farnsworth, Contracts (2d Ed. 1998) § 3.3, p. 188; all promises are not offers. See 1 Restatement (Second), </w:t>
      </w:r>
      <w:r w:rsidRPr="00B106DF">
        <w:rPr>
          <w:i/>
          <w:iCs/>
        </w:rPr>
        <w:t>supra</w:t>
      </w:r>
      <w:r>
        <w:t>, at § 24, comment (b), p. 72 (“[w]</w:t>
      </w:r>
      <w:proofErr w:type="spellStart"/>
      <w:r>
        <w:t>hether</w:t>
      </w:r>
      <w:proofErr w:type="spellEnd"/>
      <w:r>
        <w:t xml:space="preserve"> or not a proposal is a promise, it is not an offer unless it specifies a promise or performance by the offeree as the price or consideration to be given by him”).</w:t>
      </w:r>
    </w:p>
    <w:p w14:paraId="0293E838" w14:textId="77777777" w:rsidR="00DA0A6D" w:rsidRDefault="00DA0A6D" w:rsidP="007E1344">
      <w:r>
        <w:t xml:space="preserve">Additionally, the promise must reflect a present intent to commit as distinguished from a mere statement of intent to contract in the future. </w:t>
      </w:r>
      <w:r w:rsidRPr="005D7C93">
        <w:rPr>
          <w:i/>
          <w:iCs/>
        </w:rPr>
        <w:t>See</w:t>
      </w:r>
      <w:r>
        <w:t xml:space="preserve"> </w:t>
      </w:r>
      <w:proofErr w:type="spellStart"/>
      <w:r w:rsidRPr="005D7C93">
        <w:rPr>
          <w:i/>
          <w:iCs/>
        </w:rPr>
        <w:t>D</w:t>
      </w:r>
      <w:r>
        <w:rPr>
          <w:i/>
          <w:iCs/>
        </w:rPr>
        <w:t>’</w:t>
      </w:r>
      <w:r w:rsidRPr="005D7C93">
        <w:rPr>
          <w:i/>
          <w:iCs/>
        </w:rPr>
        <w:t>Ulisse</w:t>
      </w:r>
      <w:proofErr w:type="spellEnd"/>
      <w:r w:rsidRPr="005D7C93">
        <w:rPr>
          <w:i/>
          <w:iCs/>
        </w:rPr>
        <w:t>–Cupo v. Board of Directors of Notre Dame High School</w:t>
      </w:r>
      <w:r>
        <w:t xml:space="preserve">, </w:t>
      </w:r>
      <w:r w:rsidRPr="005D7C93">
        <w:rPr>
          <w:i/>
          <w:iCs/>
        </w:rPr>
        <w:t>supra</w:t>
      </w:r>
      <w:r>
        <w:t xml:space="preserve">, 202 Conn. at 214–15, 520 A.2d 217. “[A] mere expression of intention, hope, desire, or opinion, which shows no real commitment, cannot be expected to induce reliance”; 3 A. Corbin, Contracts, supra, at § 8.9, pp. 29–30; and, therefore, is not sufficiently promissory. The requirements of clarity and definiteness are the determinative factors in deciding whether the statements are indeed expressions of commitment as opposed to expressions of intention, hope, desire or opinion. </w:t>
      </w:r>
      <w:r w:rsidRPr="005D7C93">
        <w:rPr>
          <w:i/>
          <w:iCs/>
        </w:rPr>
        <w:t>See</w:t>
      </w:r>
      <w:r>
        <w:t xml:space="preserve"> </w:t>
      </w:r>
      <w:proofErr w:type="spellStart"/>
      <w:r w:rsidRPr="005D7C93">
        <w:rPr>
          <w:i/>
          <w:iCs/>
        </w:rPr>
        <w:t>D</w:t>
      </w:r>
      <w:r>
        <w:rPr>
          <w:i/>
          <w:iCs/>
        </w:rPr>
        <w:t>’</w:t>
      </w:r>
      <w:r w:rsidRPr="005D7C93">
        <w:rPr>
          <w:i/>
          <w:iCs/>
        </w:rPr>
        <w:t>Ulisse</w:t>
      </w:r>
      <w:proofErr w:type="spellEnd"/>
      <w:r w:rsidRPr="005D7C93">
        <w:rPr>
          <w:i/>
          <w:iCs/>
        </w:rPr>
        <w:t>–Cupo v. Board of Directors of Notre Dame High School</w:t>
      </w:r>
      <w:r w:rsidRPr="005D7C93">
        <w:t xml:space="preserve">, </w:t>
      </w:r>
      <w:r w:rsidRPr="005D7C93">
        <w:rPr>
          <w:i/>
          <w:iCs/>
        </w:rPr>
        <w:t>supra</w:t>
      </w:r>
      <w:r w:rsidRPr="005D7C93">
        <w:t xml:space="preserve">, </w:t>
      </w:r>
      <w:r>
        <w:t xml:space="preserve">at 214–15, 520 A.2d 217. Finally, whether a representation rises to the level of a promise is generally a question of fact, to be determined </w:t>
      </w:r>
      <w:proofErr w:type="gramStart"/>
      <w:r>
        <w:t>in light of</w:t>
      </w:r>
      <w:proofErr w:type="gramEnd"/>
      <w:r>
        <w:t xml:space="preserve"> the circumstances under which the representation was made…. </w:t>
      </w:r>
    </w:p>
    <w:p w14:paraId="7F4058EC" w14:textId="77777777" w:rsidR="00DA0A6D" w:rsidRDefault="00DA0A6D" w:rsidP="007E1344">
      <w:r>
        <w:t xml:space="preserve">Applying the foregoing principles, we conclude that there was sufficient evidence to support the jury’s finding that Simon’s representations to the plaintiff were sufficiently clear and definite to constitute a promise that her employment with Cendant would not be affected adversely if her husband subsequently secured employment with a competing relocation </w:t>
      </w:r>
      <w:r>
        <w:lastRenderedPageBreak/>
        <w:t xml:space="preserve">services firm. The plaintiff testified that: (1) she had approached Simon because she was concerned that her husband’s employment with a competitor would have a negative effect on her employment with Cendant; (2) she expressed that concern in plain terms to Simon; and (3) Simon responded in equally unambiguous terms, in his own capacity and on behalf of Kelleher, that the plaintiff had no need to worry because her husband’s future employment with a competitor would pose “no problems whatsoever” for her. </w:t>
      </w:r>
      <w:proofErr w:type="gramStart"/>
      <w:r>
        <w:t>On the basis of</w:t>
      </w:r>
      <w:proofErr w:type="gramEnd"/>
      <w:r>
        <w:t xml:space="preserve"> this testimony, the jury reasonably could have found that Simon’s representations to the plaintiff constituted a clear and definite promise that her position with Cendant would not be affected adversely if her husband were to secure employment with a competing firm.</w:t>
      </w:r>
    </w:p>
    <w:p w14:paraId="62A058DC" w14:textId="45953F1F" w:rsidR="00DA0A6D" w:rsidRPr="00C62B90" w:rsidRDefault="00DA0A6D" w:rsidP="007E1344">
      <w:r>
        <w:t xml:space="preserve">Relying primarily on our decision in </w:t>
      </w:r>
      <w:proofErr w:type="spellStart"/>
      <w:r w:rsidRPr="005D7C93">
        <w:rPr>
          <w:i/>
          <w:iCs/>
        </w:rPr>
        <w:t>D</w:t>
      </w:r>
      <w:r>
        <w:rPr>
          <w:i/>
          <w:iCs/>
        </w:rPr>
        <w:t>’</w:t>
      </w:r>
      <w:r w:rsidRPr="005D7C93">
        <w:rPr>
          <w:i/>
          <w:iCs/>
        </w:rPr>
        <w:t>Ulisse</w:t>
      </w:r>
      <w:proofErr w:type="spellEnd"/>
      <w:r w:rsidRPr="005D7C93">
        <w:rPr>
          <w:i/>
          <w:iCs/>
        </w:rPr>
        <w:t>–Cupo</w:t>
      </w:r>
      <w:r>
        <w:t>, Cendant contends that, under our law of promissory estoppel, all promises in the employer-employee context, to be actionable, must contain the standard material terms of a contract of employment and clearly reflect an intent by the promisor to undertake conventional contractual liability.</w:t>
      </w:r>
      <w:r>
        <w:rPr>
          <w:rStyle w:val="FootnoteReference"/>
        </w:rPr>
        <w:footnoteReference w:customMarkFollows="1" w:id="2"/>
        <w:t>5</w:t>
      </w:r>
      <w:r>
        <w:t xml:space="preserve"> In other words, Cendant contends that any such promise must contain all of the elements of an offer to enter into a contract. We conclude that our holding in </w:t>
      </w:r>
      <w:proofErr w:type="spellStart"/>
      <w:r w:rsidRPr="005D7C93">
        <w:rPr>
          <w:i/>
          <w:iCs/>
        </w:rPr>
        <w:t>D</w:t>
      </w:r>
      <w:r>
        <w:rPr>
          <w:i/>
          <w:iCs/>
        </w:rPr>
        <w:t>’</w:t>
      </w:r>
      <w:r w:rsidRPr="005D7C93">
        <w:rPr>
          <w:i/>
          <w:iCs/>
        </w:rPr>
        <w:t>Ulisse</w:t>
      </w:r>
      <w:proofErr w:type="spellEnd"/>
      <w:r w:rsidRPr="005D7C93">
        <w:rPr>
          <w:i/>
          <w:iCs/>
        </w:rPr>
        <w:t>–Cupo</w:t>
      </w:r>
      <w:r>
        <w:t xml:space="preserve"> is not so broad. [Distinguishes </w:t>
      </w:r>
      <w:proofErr w:type="spellStart"/>
      <w:r w:rsidRPr="005D7C93">
        <w:rPr>
          <w:i/>
          <w:iCs/>
        </w:rPr>
        <w:t>D</w:t>
      </w:r>
      <w:r>
        <w:rPr>
          <w:i/>
          <w:iCs/>
        </w:rPr>
        <w:t>’</w:t>
      </w:r>
      <w:r w:rsidRPr="005D7C93">
        <w:rPr>
          <w:i/>
          <w:iCs/>
        </w:rPr>
        <w:t>Ulisse</w:t>
      </w:r>
      <w:proofErr w:type="spellEnd"/>
      <w:r w:rsidRPr="005D7C93">
        <w:rPr>
          <w:i/>
          <w:iCs/>
        </w:rPr>
        <w:t>–Cupo</w:t>
      </w:r>
      <w:r>
        <w:rPr>
          <w:i/>
          <w:iCs/>
        </w:rPr>
        <w:t xml:space="preserve"> </w:t>
      </w:r>
      <w:r>
        <w:t>in depth.]</w:t>
      </w:r>
    </w:p>
    <w:p w14:paraId="3C7DDBE5" w14:textId="77777777" w:rsidR="00DA0A6D" w:rsidRDefault="00DA0A6D" w:rsidP="007E1344">
      <w:r>
        <w:t xml:space="preserve">…As we have explained, a promise need not be the functional equivalent of an offer to </w:t>
      </w:r>
      <w:proofErr w:type="gramStart"/>
      <w:r>
        <w:t>enter into</w:t>
      </w:r>
      <w:proofErr w:type="gramEnd"/>
      <w:r>
        <w:t xml:space="preserve"> a contract for it to support a claim of promissory estoppel.</w:t>
      </w:r>
      <w:r>
        <w:rPr>
          <w:rStyle w:val="FootnoteReference"/>
        </w:rPr>
        <w:footnoteReference w:customMarkFollows="1" w:id="3"/>
        <w:t>7</w:t>
      </w:r>
      <w:r>
        <w:t xml:space="preserve"> See 3 A. Corbin, supra, at § 8.9, p. 29. Thus, the jury reasonably could have concluded both that Simon’s representations constituted a promise upon which the plaintiff reasonably could and did rely and that his representations were not an expression of the terms of an employment contract that Cendant was offering to the plaintiff. Consequently, the jury’s finding that Cendant did not make an offer to </w:t>
      </w:r>
      <w:proofErr w:type="gramStart"/>
      <w:r>
        <w:t>enter into</w:t>
      </w:r>
      <w:proofErr w:type="gramEnd"/>
      <w:r>
        <w:t xml:space="preserve"> a contract with the plaintiff is not inconsistent with its finding that Cendant had promised the plaintiff that her employment would not be affected adversely if her husband were to accept a position with a competitor.</w:t>
      </w:r>
      <w:r>
        <w:rPr>
          <w:rStyle w:val="FootnoteReference"/>
        </w:rPr>
        <w:footnoteReference w:customMarkFollows="1" w:id="4"/>
        <w:t>8</w:t>
      </w:r>
    </w:p>
    <w:p w14:paraId="4369B037" w14:textId="77777777" w:rsidR="00DA0A6D" w:rsidRDefault="00DA0A6D" w:rsidP="007E1344">
      <w:pPr>
        <w:pStyle w:val="Internalheading"/>
      </w:pPr>
      <w:r>
        <w:lastRenderedPageBreak/>
        <w:t>II</w:t>
      </w:r>
    </w:p>
    <w:p w14:paraId="489A0785" w14:textId="77777777" w:rsidR="00DA0A6D" w:rsidRDefault="00DA0A6D" w:rsidP="007E1344">
      <w:r>
        <w:t>The defendant next claims that the evidence was insufficient to establish that the plaintiff detrimentally relied on Simon’s representations. We also reject this claim.</w:t>
      </w:r>
    </w:p>
    <w:p w14:paraId="581F557A" w14:textId="77777777" w:rsidR="00DA0A6D" w:rsidRDefault="00DA0A6D" w:rsidP="007E1344">
      <w:r>
        <w:t xml:space="preserve">The following additional facts are necessary to our disposition of this claim. As we previously have noted, the plaintiff testified on direct examination that she had approached Simon because she wanted to know whether, </w:t>
      </w:r>
      <w:proofErr w:type="gramStart"/>
      <w:r>
        <w:t>in light of</w:t>
      </w:r>
      <w:proofErr w:type="gramEnd"/>
      <w:r>
        <w:t xml:space="preserve"> her husband’s likely future employment with a competing relocation services firm, she should stay at Cendant or seek other opportunities within the industry. After Simon assured her that she would suffer no adverse consequences in the event that her husband </w:t>
      </w:r>
      <w:proofErr w:type="gramStart"/>
      <w:r>
        <w:t>were</w:t>
      </w:r>
      <w:proofErr w:type="gramEnd"/>
      <w:r>
        <w:t xml:space="preserve"> to accept employment with a competitor, the plaintiff decided to remain at Cendant and “did not pursue other employment opportunities….” The plaintiff testified during cross-examination, however, that, if Simon had told her that her husband’s employment with another relocation services firm would pose a problem, she was not sure “what [she] would have done.” The plaintiff also testified that when Simon made his representations to her, she was not investigating other employment opportunities. Additionally, the plaintiff acknowledged that she was an at-will employee and, therefore, subject to discharge at any time.</w:t>
      </w:r>
    </w:p>
    <w:p w14:paraId="451F1332" w14:textId="77777777" w:rsidR="00DA0A6D" w:rsidRDefault="00DA0A6D" w:rsidP="007E1344">
      <w:r>
        <w:t xml:space="preserve">The plaintiff also adduced evidence that she was one of a relatively small number of highly talented salespeople in the relocation services industry. Indeed, Kelleher testified that the plaintiff would be regarded as a “valued asset” both within Cendant and in the industry </w:t>
      </w:r>
      <w:proofErr w:type="gramStart"/>
      <w:r>
        <w:t>on the basis of</w:t>
      </w:r>
      <w:proofErr w:type="gramEnd"/>
      <w:r>
        <w:t xml:space="preserve"> her productivity. Simon testified that such salespeople have no difficulty finding employment in the relocation services field. According to Simon, salespeople with the plaintiff’s credentials “can walk in virtually anywhere” and receive a job offer.</w:t>
      </w:r>
    </w:p>
    <w:p w14:paraId="543031E4" w14:textId="77777777" w:rsidR="00DA0A6D" w:rsidRDefault="00DA0A6D" w:rsidP="007E1344">
      <w:r>
        <w:t xml:space="preserve">In addition, offers to top performers in the relocation services industry typically include a signing bonus equivalent to some or </w:t>
      </w:r>
      <w:proofErr w:type="gramStart"/>
      <w:r>
        <w:t>all of</w:t>
      </w:r>
      <w:proofErr w:type="gramEnd"/>
      <w:r>
        <w:t xml:space="preserve"> the value of the employee’s “pipeline,” the industry term for the estimated total commissions due a salesperson, at a specific point in time, on the </w:t>
      </w:r>
      <w:r>
        <w:lastRenderedPageBreak/>
        <w:t>basis of consummated sales for which the company has not yet been paid in full. Because salespeople do not receive pipeline commissions if they leave a company to join a competitor before the company is paid by the client, signing bonuses are used as a recruitment tool by relocation service companies to induce salespeople employed by other companies to forgo their pipeline commissions and join the recruiting company. Although there are numerous salespeople who, like the plaintiff, do not receive accrued but uncollected commissions, those salespeople, in contrast to salespeople who are recruited by a competitor, are not sufficiently marketable to command a signing bonus.</w:t>
      </w:r>
    </w:p>
    <w:p w14:paraId="57F6D1AA" w14:textId="77777777" w:rsidR="00DA0A6D" w:rsidRDefault="00DA0A6D" w:rsidP="007E1344">
      <w:r>
        <w:t>Finally, evidence adduced at trial established that the approximate value of the plaintiff’s pipeline when she allegedly was terminated was $812,700,</w:t>
      </w:r>
      <w:r>
        <w:rPr>
          <w:rStyle w:val="FootnoteReference"/>
        </w:rPr>
        <w:footnoteReference w:customMarkFollows="1" w:id="5"/>
        <w:t>9</w:t>
      </w:r>
      <w:r>
        <w:t xml:space="preserve"> a sum that she never was paid.</w:t>
      </w:r>
    </w:p>
    <w:p w14:paraId="32D65ECB" w14:textId="77777777" w:rsidR="00DA0A6D" w:rsidRDefault="00DA0A6D" w:rsidP="007E1344">
      <w:r>
        <w:t>To succeed on a claim of promissory estoppel, the party seeking to invoke the doctrine must have relied on the other party’s promise…. That reliance, of course, may take the form of action or forbearance. Nevertheless, the asserted reliance, regardless of its form, must result in a detrimental change in the plaintiff’s position. 3 A. Corbin, supra, at § 8.9, p. 30 (“[T]he action or forbearance must amount to a detrimental change of position. The abandonment of a peppercorn or the turning over of the hand will not be enough.</w:t>
      </w:r>
      <w:proofErr w:type="gramStart"/>
      <w:r>
        <w:t>”)…</w:t>
      </w:r>
      <w:proofErr w:type="gramEnd"/>
      <w:r>
        <w:t xml:space="preserve">. Thus, “[t]o ‘rely,’ in the law of promissory estoppel, is not merely to do something in response to the inducement offered by the promise. There must be a cost to the </w:t>
      </w:r>
      <w:proofErr w:type="spellStart"/>
      <w:r>
        <w:t>promisee</w:t>
      </w:r>
      <w:proofErr w:type="spellEnd"/>
      <w:r>
        <w:t xml:space="preserve"> of doing it.” </w:t>
      </w:r>
      <w:r w:rsidRPr="00107975">
        <w:rPr>
          <w:i/>
          <w:iCs/>
        </w:rPr>
        <w:t>Cosgrove v. Bartolotta</w:t>
      </w:r>
      <w:r>
        <w:t>, 150 F.3d 729, 733 (7th Cir.1998).</w:t>
      </w:r>
    </w:p>
    <w:p w14:paraId="64FF6B22" w14:textId="77777777" w:rsidR="00DA0A6D" w:rsidRDefault="00DA0A6D" w:rsidP="007E1344">
      <w:r>
        <w:t>Moreover, “[</w:t>
      </w:r>
      <w:proofErr w:type="spellStart"/>
      <w:r>
        <w:t>i</w:t>
      </w:r>
      <w:proofErr w:type="spellEnd"/>
      <w:r>
        <w:t xml:space="preserve">]f the claimed reliance consists of the </w:t>
      </w:r>
      <w:proofErr w:type="spellStart"/>
      <w:r>
        <w:t>promisee</w:t>
      </w:r>
      <w:proofErr w:type="spellEnd"/>
      <w:r>
        <w:t xml:space="preserve">’ forbearance rather than an affirmative action, proof that this forbearance was induced by the promise requires a showing that the </w:t>
      </w:r>
      <w:proofErr w:type="spellStart"/>
      <w:r>
        <w:t>promisee</w:t>
      </w:r>
      <w:proofErr w:type="spellEnd"/>
      <w:r>
        <w:t xml:space="preserve"> could have acted.” (Emphasis added.) 1 E. Farnsworth, supra, at § 2.19, p. 164. Implicit in this principle is the requirement of proof that the plaintiff </w:t>
      </w:r>
      <w:proofErr w:type="gramStart"/>
      <w:r>
        <w:t>actually would</w:t>
      </w:r>
      <w:proofErr w:type="gramEnd"/>
      <w:r>
        <w:t xml:space="preserve"> have acted in the absence of the promise</w:t>
      </w:r>
      <w:r w:rsidRPr="00107975">
        <w:rPr>
          <w:i/>
          <w:iCs/>
        </w:rPr>
        <w:t>….</w:t>
      </w:r>
    </w:p>
    <w:p w14:paraId="35BDEBF1" w14:textId="77777777" w:rsidR="00DA0A6D" w:rsidRDefault="00DA0A6D" w:rsidP="007E1344">
      <w:r>
        <w:t xml:space="preserve">In the present case, the plaintiff claimed that she relied on Simon’s representations by forgoing other employment opportunities that would have resulted in a signing bonus approximately equivalent to her pipeline. Cendant contends that the plaintiff failed to adduce sufficient evidence to establish that she: (1) could have obtained such other employment; (2) would have sought employment elsewhere if Simon had told her that her position at Cendant would be affected adversely if her husband accepted a position with a competing firm; and (3) was not </w:t>
      </w:r>
      <w:r>
        <w:lastRenderedPageBreak/>
        <w:t xml:space="preserve">harmed by continuing as an employee of Cendant even if she did so in reliance on Simon’s representations. We disagree with each of these contentions. </w:t>
      </w:r>
    </w:p>
    <w:p w14:paraId="5211484D" w14:textId="77777777" w:rsidR="00DA0A6D" w:rsidRDefault="00DA0A6D" w:rsidP="007E1344">
      <w:r>
        <w:t xml:space="preserve">First, with respect to Cendant’s claim that the evidence was inadequate to establish that the plaintiff could have secured a sales position with another relocation services firm, Simon testified that talented salespeople in the relocation services industry—and it was undisputed that the plaintiff was such a salesperson—frequently obtained such positions. Although, as Cendant notes, the plaintiff, herself, testified that she was unaware that any of those positions were available at the time she would have been seeking such a position, the jury nevertheless reasonably could have found, </w:t>
      </w:r>
      <w:proofErr w:type="gramStart"/>
      <w:r>
        <w:t>on the basis of</w:t>
      </w:r>
      <w:proofErr w:type="gramEnd"/>
      <w:r>
        <w:t xml:space="preserve"> Simon’s testimony, that the plaintiff likely could have secured such a position if she had sought to do so.</w:t>
      </w:r>
    </w:p>
    <w:p w14:paraId="7C0FA44F" w14:textId="77777777" w:rsidR="00DA0A6D" w:rsidRDefault="00DA0A6D" w:rsidP="007E1344">
      <w:r>
        <w:t xml:space="preserve">With respect to the issue of whether the plaintiff would have departed Cendant if she had not received Simon’s assurances, the plaintiff testified that she approached Simon about her husband’s likely future employment with a competitor because she needed to decide whether to stay with Cendant or to look for a position elsewhere. The plaintiff also indicated that she elected to stay at Cendant rather than to seek other employment because of Simon’s representations that her position at Cendant would not be affected negatively </w:t>
      </w:r>
      <w:proofErr w:type="gramStart"/>
      <w:r>
        <w:t>in the event that</w:t>
      </w:r>
      <w:proofErr w:type="gramEnd"/>
      <w:r>
        <w:t xml:space="preserve"> her husband secured employment with a competing firm. Although the plaintiff also testified that she was unsure what she would have done if Simon had not made those assurances, it was within the province of the jury to resolve any possible inconsistencies in the plaintiff’s testimony in a manner favorable to the plaintiff…. Thus, the jury reasonably could have found that the plaintiff would have left Cendant if Simon had not assured her as he did.</w:t>
      </w:r>
    </w:p>
    <w:p w14:paraId="7F1F71F1" w14:textId="77777777" w:rsidR="00DA0A6D" w:rsidRDefault="00DA0A6D" w:rsidP="007E1344">
      <w:r>
        <w:t xml:space="preserve">Finally, Cendant contends that the plaintiff suffered no harm by opting not to seek employment elsewhere after she had spoken with Simon about her husband’s likely future employment with a competitor. We disagree. In remaining at Cendant, the plaintiff not only abandoned any opportunity to secure a position with another relocation services company, </w:t>
      </w:r>
      <w:proofErr w:type="gramStart"/>
      <w:r>
        <w:t>she</w:t>
      </w:r>
      <w:proofErr w:type="gramEnd"/>
      <w:r>
        <w:t xml:space="preserve"> also forwent a signing bonus that the jury reasonably could have found approximated the value of her pipeline. Accordingly, we conclude that the evidence was sufficient to warrant the jury’s finding that the plaintiff reasonably relied on Simon’s representations to her financial detriment.</w:t>
      </w:r>
      <w:r>
        <w:rPr>
          <w:rStyle w:val="FootnoteReference"/>
        </w:rPr>
        <w:footnoteReference w:customMarkFollows="1" w:id="6"/>
        <w:t>10</w:t>
      </w:r>
    </w:p>
    <w:p w14:paraId="1AA2C8EA" w14:textId="289E6315" w:rsidR="00DA0A6D" w:rsidRDefault="00DA0A6D" w:rsidP="007E1344">
      <w:r>
        <w:lastRenderedPageBreak/>
        <w:t>The judgment is affirmed.</w:t>
      </w:r>
    </w:p>
    <w:p w14:paraId="72028701" w14:textId="77777777" w:rsidR="00DA0A6D" w:rsidRDefault="00DA0A6D" w:rsidP="001A1CFB">
      <w:pPr>
        <w:pStyle w:val="Questions"/>
      </w:pPr>
      <w:r>
        <w:t>Notes and Questions</w:t>
      </w:r>
    </w:p>
    <w:p w14:paraId="7DB5B386" w14:textId="3FEF3959" w:rsidR="00DA0A6D" w:rsidRDefault="00DA0A6D" w:rsidP="007E1344">
      <w:pPr>
        <w:pStyle w:val="ListParagraph"/>
        <w:numPr>
          <w:ilvl w:val="0"/>
          <w:numId w:val="30"/>
        </w:numPr>
      </w:pPr>
      <w:r>
        <w:t xml:space="preserve">As we cover in greater depth in another module, contract law generally does not enforce too vague promises, a doctrine called </w:t>
      </w:r>
      <w:r w:rsidRPr="001A1CFB">
        <w:rPr>
          <w:i/>
          <w:iCs/>
        </w:rPr>
        <w:t>indefiniteness</w:t>
      </w:r>
      <w:r>
        <w:t xml:space="preserve">. </w:t>
      </w:r>
      <w:r w:rsidRPr="00692930">
        <w:t>If an enforceable promise can be less definite than an offer sufficient to support consideration, what does that tell you about the relationship between consideration and promissory estoppel as bases for finding a promise enforceable?</w:t>
      </w:r>
    </w:p>
    <w:p w14:paraId="4D565193" w14:textId="31FF6E87" w:rsidR="00DA0A6D" w:rsidRDefault="00DA0A6D" w:rsidP="007E1344">
      <w:pPr>
        <w:pStyle w:val="ListParagraph"/>
        <w:numPr>
          <w:ilvl w:val="0"/>
          <w:numId w:val="30"/>
        </w:numPr>
      </w:pPr>
      <w:r>
        <w:t>As we come to the end of our discussion on promissory estoppel (although the topic will come up</w:t>
      </w:r>
      <w:r w:rsidR="00272645">
        <w:t xml:space="preserve"> again</w:t>
      </w:r>
      <w:r>
        <w:t xml:space="preserve"> in other contexts), we can reflect on the doctrine and its importance. Starting with </w:t>
      </w:r>
      <w:r w:rsidR="00272645">
        <w:t xml:space="preserve">the </w:t>
      </w:r>
      <w:r>
        <w:t xml:space="preserve">cautionary words of </w:t>
      </w:r>
      <w:r w:rsidRPr="00DA0A6D">
        <w:t xml:space="preserve">Justice Oliver Wendall Holmes, Jr., then seated on the Massachusetts Supreme Court, that evading the doctrine of consideration by allowing a </w:t>
      </w:r>
      <w:proofErr w:type="spellStart"/>
      <w:r w:rsidRPr="00DA0A6D">
        <w:t>promisee</w:t>
      </w:r>
      <w:proofErr w:type="spellEnd"/>
      <w:r w:rsidRPr="00DA0A6D">
        <w:t xml:space="preserve"> “to make a gratuitous promise binding by subsequently acting in reliance on it … would cut up the doctrine of consideration by the roots.” </w:t>
      </w:r>
      <w:r w:rsidRPr="007E1344">
        <w:rPr>
          <w:i/>
          <w:iCs/>
        </w:rPr>
        <w:t>Commonwealth v. Scituate Savings Bank</w:t>
      </w:r>
      <w:r w:rsidRPr="00DA0A6D">
        <w:t>, 137 Mass. 301, 302 (1884)</w:t>
      </w:r>
      <w:r>
        <w:t xml:space="preserve">. </w:t>
      </w:r>
      <w:r w:rsidR="00272645">
        <w:t xml:space="preserve">Is this a good argument against the </w:t>
      </w:r>
      <w:r w:rsidRPr="00DA0A6D">
        <w:t>adoption of promissory estoppel? Why or why not?</w:t>
      </w:r>
    </w:p>
    <w:p w14:paraId="2141B5EA" w14:textId="1FF228D9" w:rsidR="00DA0A6D" w:rsidRDefault="00DA0A6D" w:rsidP="00A95E46">
      <w:pPr>
        <w:pStyle w:val="Notesnonumbers"/>
      </w:pPr>
      <w:r>
        <w:t xml:space="preserve">Now consider the account of Professor Grant Gilmore, the former dean of Yale Law School, in a famous 1974 book entitled </w:t>
      </w:r>
      <w:r w:rsidRPr="007E1344">
        <w:rPr>
          <w:i/>
          <w:iCs/>
        </w:rPr>
        <w:t>The Death of Contract</w:t>
      </w:r>
      <w:r>
        <w:t>. Gilmore place</w:t>
      </w:r>
      <w:r w:rsidR="00272645">
        <w:t>d</w:t>
      </w:r>
      <w:r>
        <w:t xml:space="preserve"> the rise of the doctrine in the context of overall resistance to formalism. He noted that </w:t>
      </w:r>
      <w:r w:rsidRPr="00DA0A6D">
        <w:t>a reader looking back on nineteenth</w:t>
      </w:r>
      <w:r w:rsidR="00272645">
        <w:t xml:space="preserve"> </w:t>
      </w:r>
      <w:r w:rsidRPr="00DA0A6D">
        <w:t>century contract theories might be surprised by “the narrow scope of social duty which they implicitly assumed. No man is his brother’s keeper; the race is to the swift; let the devil take the hindmost.” In comparison, twentieth</w:t>
      </w:r>
      <w:r w:rsidR="00272645">
        <w:t xml:space="preserve"> </w:t>
      </w:r>
      <w:r w:rsidRPr="00DA0A6D">
        <w:t>century law was marked by a “transition from nineteenth century individualism to the welfare state and beyond.” As part of that shift, courts have arguably become less formalistic and more sensitive to the contexts of various bargains.</w:t>
      </w:r>
      <w:r>
        <w:t xml:space="preserve"> </w:t>
      </w:r>
    </w:p>
    <w:p w14:paraId="407E4D0B" w14:textId="10BE9E25" w:rsidR="00DA0A6D" w:rsidRDefault="00DA0A6D" w:rsidP="00A95E46">
      <w:pPr>
        <w:pStyle w:val="Notesnonumbers"/>
      </w:pPr>
      <w:r>
        <w:t xml:space="preserve">Gilmore colorfully described promissory estoppel </w:t>
      </w:r>
      <w:r w:rsidR="00272645">
        <w:t>a</w:t>
      </w:r>
      <w:r>
        <w:t xml:space="preserve">s “anti-Contract,” </w:t>
      </w:r>
      <w:r w:rsidR="00275DC5" w:rsidRPr="00275DC5">
        <w:t xml:space="preserve">comparing it to </w:t>
      </w:r>
      <w:r w:rsidR="00275DC5">
        <w:t>“</w:t>
      </w:r>
      <w:r w:rsidR="00275DC5" w:rsidRPr="00275DC5">
        <w:t>matter and anti-matter</w:t>
      </w:r>
      <w:r w:rsidR="00275DC5">
        <w:t>”</w:t>
      </w:r>
      <w:r w:rsidR="00275DC5" w:rsidRPr="00275DC5">
        <w:t xml:space="preserve"> in relation to consideration</w:t>
      </w:r>
      <w:r w:rsidR="00275DC5">
        <w:t xml:space="preserve">. He further </w:t>
      </w:r>
      <w:r w:rsidRPr="00DA0A6D">
        <w:t>predict</w:t>
      </w:r>
      <w:r w:rsidR="00275DC5">
        <w:t>ed</w:t>
      </w:r>
      <w:r w:rsidRPr="00DA0A6D">
        <w:t xml:space="preserve"> that “these two contradictory propositions cannot live comfortably together: in the end one must </w:t>
      </w:r>
      <w:r w:rsidRPr="00DA0A6D">
        <w:lastRenderedPageBreak/>
        <w:t xml:space="preserve">swallow the other up.” </w:t>
      </w:r>
      <w:r>
        <w:t>In fact, he expected that over time, promissory estoppel w</w:t>
      </w:r>
      <w:r w:rsidR="00272645">
        <w:t>ould</w:t>
      </w:r>
      <w:r>
        <w:t xml:space="preserve"> swallow contract</w:t>
      </w:r>
      <w:r w:rsidR="00272645">
        <w:t xml:space="preserve"> law</w:t>
      </w:r>
      <w:r>
        <w:t xml:space="preserve"> and be the main theory for enforcing promises. </w:t>
      </w:r>
    </w:p>
    <w:p w14:paraId="3EB521CD" w14:textId="076D6174" w:rsidR="00DA0A6D" w:rsidRDefault="000D6167" w:rsidP="00A95E46">
      <w:pPr>
        <w:pStyle w:val="Notesnonumbers"/>
      </w:pPr>
      <w:r>
        <w:t>Fifty</w:t>
      </w:r>
      <w:r w:rsidR="00DA0A6D">
        <w:t xml:space="preserve"> years late</w:t>
      </w:r>
      <w:r w:rsidR="00272645">
        <w:t>r</w:t>
      </w:r>
      <w:r w:rsidR="00DA0A6D">
        <w:t xml:space="preserve">, this prediction did not seem to come to </w:t>
      </w:r>
      <w:r w:rsidR="00DA0A6D" w:rsidRPr="00DA0A6D">
        <w:t>fruition</w:t>
      </w:r>
      <w:r w:rsidR="00DA0A6D">
        <w:t xml:space="preserve">. In fact, in a study of promissory estoppel cases from the mid-1990s, Professor Robert Hillman reports </w:t>
      </w:r>
      <w:r w:rsidR="00272645">
        <w:t xml:space="preserve">that </w:t>
      </w:r>
      <w:r w:rsidR="00DA0A6D">
        <w:t xml:space="preserve">the </w:t>
      </w:r>
      <w:r w:rsidR="00272645">
        <w:t>doctrine</w:t>
      </w:r>
      <w:r w:rsidR="00DA0A6D">
        <w:t xml:space="preserve"> rarely leads to victory in reported cases. Robert A. Hillman, </w:t>
      </w:r>
      <w:r w:rsidR="00DA0A6D" w:rsidRPr="007E1344">
        <w:rPr>
          <w:i/>
          <w:iCs/>
        </w:rPr>
        <w:t>Questioning the “New Consensus” on Promissory Estoppel: An Empirical and Theoretical Study</w:t>
      </w:r>
      <w:r w:rsidR="00DA0A6D">
        <w:t xml:space="preserve">, 98 </w:t>
      </w:r>
      <w:r w:rsidR="00DA0A6D" w:rsidRPr="007E1344">
        <w:rPr>
          <w:smallCaps/>
        </w:rPr>
        <w:t>Colum. L. Rev.</w:t>
      </w:r>
      <w:r w:rsidR="00DA0A6D">
        <w:t xml:space="preserve"> 580 (1998). Hillman reported that out of 362 cases, </w:t>
      </w:r>
      <w:r w:rsidR="00DA0A6D" w:rsidRPr="00726F19">
        <w:t>promissory estoppel</w:t>
      </w:r>
      <w:r w:rsidR="00DA0A6D">
        <w:t xml:space="preserve"> claims succeeded on the merits only 8% of the time (n=29) but failed on the merits nearly 75% of the time (n=270). </w:t>
      </w:r>
      <w:r w:rsidR="00DA0A6D" w:rsidRPr="007E1344">
        <w:rPr>
          <w:i/>
          <w:iCs/>
        </w:rPr>
        <w:t>Id.</w:t>
      </w:r>
      <w:r w:rsidR="00DA0A6D">
        <w:t xml:space="preserve"> at 589. Comparing win rates in promissory estoppel cases in published state court and federal district court cases (n=110) to contracts disputes in federal district court cases (n=26,126) revealed that plaintiffs rarely prevailed on promissory estoppel claims (5.45%, n=6) but prevailed on </w:t>
      </w:r>
      <w:proofErr w:type="gramStart"/>
      <w:r w:rsidR="00DA0A6D">
        <w:t>other</w:t>
      </w:r>
      <w:proofErr w:type="gramEnd"/>
      <w:r w:rsidR="00DA0A6D">
        <w:t xml:space="preserve"> contract claims </w:t>
      </w:r>
      <w:r w:rsidR="00DA0A6D" w:rsidRPr="00530638">
        <w:t>more often than not</w:t>
      </w:r>
      <w:r w:rsidR="00DA0A6D">
        <w:t xml:space="preserve"> (54.77%, n=14,308). </w:t>
      </w:r>
      <w:r w:rsidR="00DA0A6D" w:rsidRPr="00726F19">
        <w:t>What does this</w:t>
      </w:r>
      <w:r w:rsidR="00DA0A6D">
        <w:t xml:space="preserve"> evidence</w:t>
      </w:r>
      <w:r w:rsidR="00DA0A6D" w:rsidRPr="00726F19">
        <w:t xml:space="preserve"> suggest about the adoption of promissory estoppel as an alternative ground to enforcing contracts?</w:t>
      </w:r>
    </w:p>
    <w:p w14:paraId="11ED5227" w14:textId="77777777" w:rsidR="00FD4019" w:rsidRDefault="00FD4019" w:rsidP="007E1344"/>
    <w:p w14:paraId="5FC8D842" w14:textId="77777777" w:rsidR="00ED1C33" w:rsidRDefault="00ED1C33" w:rsidP="007E1344">
      <w:pPr>
        <w:sectPr w:rsidR="00ED1C33" w:rsidSect="007E1344">
          <w:headerReference w:type="even" r:id="rId13"/>
          <w:headerReference w:type="default" r:id="rId14"/>
          <w:pgSz w:w="12240" w:h="15840"/>
          <w:pgMar w:top="1440" w:right="1440" w:bottom="1440" w:left="1440" w:header="720" w:footer="720" w:gutter="0"/>
          <w:cols w:space="720"/>
          <w:titlePg/>
          <w:docGrid w:linePitch="360"/>
        </w:sectPr>
      </w:pPr>
    </w:p>
    <w:bookmarkEnd w:id="0"/>
    <w:p w14:paraId="0784B5E5" w14:textId="77777777" w:rsidR="00ED1C33" w:rsidRPr="00FD4019" w:rsidRDefault="00ED1C33" w:rsidP="007E1344"/>
    <w:sectPr w:rsidR="00ED1C33" w:rsidRPr="00FD4019" w:rsidSect="007E134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BBCF7" w14:textId="77777777" w:rsidR="00015B97" w:rsidRDefault="00015B97" w:rsidP="007E1344">
      <w:r>
        <w:separator/>
      </w:r>
    </w:p>
  </w:endnote>
  <w:endnote w:type="continuationSeparator" w:id="0">
    <w:p w14:paraId="3006CF95" w14:textId="77777777" w:rsidR="00015B97" w:rsidRDefault="00015B97" w:rsidP="007E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E855A" w14:textId="77777777" w:rsidR="00015B97" w:rsidRDefault="00015B97" w:rsidP="007E1344">
      <w:r>
        <w:separator/>
      </w:r>
    </w:p>
  </w:footnote>
  <w:footnote w:type="continuationSeparator" w:id="0">
    <w:p w14:paraId="65D8DDEF" w14:textId="77777777" w:rsidR="00015B97" w:rsidRDefault="00015B97" w:rsidP="007E1344">
      <w:r>
        <w:continuationSeparator/>
      </w:r>
    </w:p>
  </w:footnote>
  <w:footnote w:id="1">
    <w:p w14:paraId="46AA8A9B" w14:textId="080B897A" w:rsidR="00FD4019" w:rsidRPr="007E1344" w:rsidRDefault="00FD4019" w:rsidP="00A95E46">
      <w:pPr>
        <w:pStyle w:val="FNtext"/>
      </w:pPr>
      <w:r w:rsidRPr="007E1344">
        <w:rPr>
          <w:rStyle w:val="FootnoteReference"/>
        </w:rPr>
        <w:t>4</w:t>
      </w:r>
      <w:r w:rsidRPr="007E1344">
        <w:t xml:space="preserve"> … [In Congregation </w:t>
      </w:r>
      <w:proofErr w:type="spellStart"/>
      <w:r w:rsidRPr="007E1344">
        <w:t>Kadimah</w:t>
      </w:r>
      <w:proofErr w:type="spellEnd"/>
      <w:r w:rsidRPr="007E1344">
        <w:t xml:space="preserve"> Toras–Moshe v. DeLeo] By requiring that a promise to make a charitable subscription be supported by consideration or reliance, we declined to adopt the standard for enforceable charitable subscriptions set forth in the Restatement (Second) of Contracts § 90 (</w:t>
      </w:r>
      <w:proofErr w:type="gramStart"/>
      <w:r w:rsidRPr="007E1344">
        <w:t>1981)…</w:t>
      </w:r>
      <w:proofErr w:type="gramEnd"/>
      <w:r w:rsidRPr="007E1344">
        <w:t>. See Arrowsmith v. Mercantile–Safe Deposit &amp; Trust Co., supra 313 Md. at 353–354, 545 A.2d 674 (rejecting argument that court should adopt Restatement [Second] of Contracts § 90[2]); Jordan v. Mount Sinai Hosp. of Greater Miami, Inc., supra at 108 (“Courts should act with restraint in respect to the public policy arguments endeavoring to sustain a mere charitable subscription. To ascribe consideration where there is none, or to adopt any other theory which affords charities a different legal rationale than other entities, is to approve fiction”).</w:t>
      </w:r>
    </w:p>
  </w:footnote>
  <w:footnote w:id="2">
    <w:p w14:paraId="45DE94B5" w14:textId="77777777" w:rsidR="00DA0A6D" w:rsidRPr="007E1344" w:rsidRDefault="00DA0A6D" w:rsidP="00A95E46">
      <w:pPr>
        <w:pStyle w:val="FNtext"/>
      </w:pPr>
      <w:r w:rsidRPr="007E1344">
        <w:rPr>
          <w:rStyle w:val="FootnoteReference"/>
        </w:rPr>
        <w:t>5</w:t>
      </w:r>
      <w:r w:rsidRPr="007E1344">
        <w:t xml:space="preserve"> We note that at least one commentator also has construed </w:t>
      </w:r>
      <w:proofErr w:type="spellStart"/>
      <w:r w:rsidRPr="007E1344">
        <w:rPr>
          <w:i/>
          <w:iCs/>
        </w:rPr>
        <w:t>D’Ulisse</w:t>
      </w:r>
      <w:proofErr w:type="spellEnd"/>
      <w:r w:rsidRPr="007E1344">
        <w:rPr>
          <w:i/>
          <w:iCs/>
        </w:rPr>
        <w:t>–Cupo</w:t>
      </w:r>
      <w:r w:rsidRPr="007E1344">
        <w:t xml:space="preserve"> in such a manner. See 3 A. Corbin, supra, at § 8.12, p. 99.</w:t>
      </w:r>
    </w:p>
  </w:footnote>
  <w:footnote w:id="3">
    <w:p w14:paraId="06FBB86D" w14:textId="77777777" w:rsidR="00DA0A6D" w:rsidRPr="007E1344" w:rsidRDefault="00DA0A6D" w:rsidP="00A95E46">
      <w:pPr>
        <w:pStyle w:val="FNtext"/>
      </w:pPr>
      <w:r w:rsidRPr="007E1344">
        <w:rPr>
          <w:rStyle w:val="FootnoteReference"/>
        </w:rPr>
        <w:t>7</w:t>
      </w:r>
      <w:r w:rsidRPr="007E1344">
        <w:t xml:space="preserve"> Indeed, the trial court’s jury instructions were consistent with this distinction. Specifically, the court defined an “offer” as “a clear expression of terms under which a contract will be entered into” By contrast, the court defined a “promise” as a “clear and definite” statement “upon which Cendant ... should have expected the plaintiff to rely…”</w:t>
      </w:r>
    </w:p>
  </w:footnote>
  <w:footnote w:id="4">
    <w:p w14:paraId="01DEEAD1" w14:textId="77777777" w:rsidR="00DA0A6D" w:rsidRPr="007E1344" w:rsidRDefault="00DA0A6D" w:rsidP="00A95E46">
      <w:pPr>
        <w:pStyle w:val="FNtext"/>
      </w:pPr>
      <w:r w:rsidRPr="007E1344">
        <w:rPr>
          <w:rStyle w:val="FootnoteReference"/>
        </w:rPr>
        <w:t>8</w:t>
      </w:r>
      <w:r w:rsidRPr="007E1344">
        <w:t xml:space="preserve"> Cendant also contends that Simon’s representations were not sufficiently clear and definite </w:t>
      </w:r>
      <w:proofErr w:type="gramStart"/>
      <w:r w:rsidRPr="007E1344">
        <w:t>inasmuch as</w:t>
      </w:r>
      <w:proofErr w:type="gramEnd"/>
      <w:r w:rsidRPr="007E1344">
        <w:t xml:space="preserve"> the plaintiff did not believe that she was negotiating an employment contract and inasmuch as Simon’s representations related to a hypothetical future event, namely, her husband’s acceptance of a position with another relocation services firm. This claim lacks merit. First, the fact that the plaintiff did not believe that she was negotiating an actual employment contract with Simon is not inconsistent with the finding that Simon’s more limited representation to her was sufficiently clear and definite such that the plaintiff reasonably and foreseeably would rely on it. Moreover, although Simon’s representations concerned a hypothetical future event, his representations nevertheless reflected Cendant’s commitment to refrain from taking adverse action against the plaintiff even though that commitment was contingent on the plaintiff’s husband’s reemployment in the relocation services field. Consequently, those representations were sufficiently clear and definite that they reasonably and foreseeably could have been expected to induce reliance. See 3 A. Corbin, supra, § 8.9, p. 29 (“[s]</w:t>
      </w:r>
      <w:proofErr w:type="spellStart"/>
      <w:r w:rsidRPr="007E1344">
        <w:t>tatements</w:t>
      </w:r>
      <w:proofErr w:type="spellEnd"/>
      <w:r w:rsidRPr="007E1344">
        <w:t xml:space="preserve"> of present commitment to do or refrain from doing something in the future reasonably can be expected to induce reliance”).</w:t>
      </w:r>
    </w:p>
  </w:footnote>
  <w:footnote w:id="5">
    <w:p w14:paraId="5FE316C3" w14:textId="77777777" w:rsidR="00DA0A6D" w:rsidRPr="007E1344" w:rsidRDefault="00DA0A6D" w:rsidP="00A95E46">
      <w:pPr>
        <w:pStyle w:val="FNtext"/>
      </w:pPr>
      <w:r w:rsidRPr="007E1344">
        <w:rPr>
          <w:rStyle w:val="FootnoteReference"/>
        </w:rPr>
        <w:t>9</w:t>
      </w:r>
      <w:r w:rsidRPr="007E1344">
        <w:t xml:space="preserve"> The plaintiff also testified that, in 1998, her last full year of employment with Cendant, her income was approximately $630,000.</w:t>
      </w:r>
    </w:p>
  </w:footnote>
  <w:footnote w:id="6">
    <w:p w14:paraId="12C84A56" w14:textId="56CE4027" w:rsidR="00DA0A6D" w:rsidRPr="007E1344" w:rsidRDefault="00DA0A6D" w:rsidP="00A95E46">
      <w:pPr>
        <w:pStyle w:val="FNtext"/>
      </w:pPr>
      <w:r w:rsidRPr="007E1344">
        <w:rPr>
          <w:rStyle w:val="FootnoteReference"/>
        </w:rPr>
        <w:t>10</w:t>
      </w:r>
      <w:r w:rsidRPr="007E1344">
        <w:t xml:space="preserve"> Cendant maintains that any such reliance was unreasonable </w:t>
      </w:r>
      <w:proofErr w:type="gramStart"/>
      <w:r w:rsidRPr="007E1344">
        <w:t>due to the fact that</w:t>
      </w:r>
      <w:proofErr w:type="gramEnd"/>
      <w:r w:rsidRPr="007E1344">
        <w:t xml:space="preserve"> the plaintiff, herself, conceded that she was an at-will employee and, consequently, could be terminated at any time. This claim also lacks merit. Although the plaintiff acknowledged her status as an at-will employee, she also testified repeatedly, clearly and unwaveringly that, </w:t>
      </w:r>
      <w:proofErr w:type="gramStart"/>
      <w:r w:rsidRPr="007E1344">
        <w:t>on the basis of</w:t>
      </w:r>
      <w:proofErr w:type="gramEnd"/>
      <w:r w:rsidRPr="007E1344">
        <w:t xml:space="preserve"> Simon’s representations, she believed that Cendant could not and would not terminate her if her husband subsequently secured employment with a competitor. Thus, the evidence supported the conclusion that Cendant could have terminated the plaintiff for any reason except her husband’s employment with a competing firm.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290A2" w14:textId="6851F999" w:rsidR="009F5BB1" w:rsidRPr="009F5BB1" w:rsidRDefault="009F5BB1" w:rsidP="00A95E46">
    <w:pPr>
      <w:pStyle w:val="Headers"/>
    </w:pPr>
    <w:r w:rsidRPr="009F5BB1">
      <w:fldChar w:fldCharType="begin"/>
    </w:r>
    <w:r w:rsidRPr="009F5BB1">
      <w:instrText xml:space="preserve"> PAGE   \* MERGEFORMAT </w:instrText>
    </w:r>
    <w:r w:rsidRPr="009F5BB1">
      <w:fldChar w:fldCharType="separate"/>
    </w:r>
    <w:r w:rsidR="007412EF">
      <w:t>20</w:t>
    </w:r>
    <w:r w:rsidRPr="009F5BB1">
      <w:fldChar w:fldCharType="end"/>
    </w:r>
    <w:r>
      <w:tab/>
    </w:r>
    <w:r w:rsidR="00FC67EC" w:rsidRPr="00FC67EC">
      <w:t>The Bases for Enforceable Promises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0BC3" w14:textId="4862752C" w:rsidR="00497897" w:rsidRPr="00497897" w:rsidRDefault="00C34A04" w:rsidP="00A95E46">
    <w:pPr>
      <w:pStyle w:val="Headers"/>
    </w:pPr>
    <w:r>
      <w:tab/>
    </w:r>
    <w:r w:rsidR="00A13745">
      <w:t>Promis</w:t>
    </w:r>
    <w:r w:rsidR="001E4EF4">
      <w:t>sory Estoppel</w:t>
    </w:r>
    <w:r w:rsidR="00497897" w:rsidRPr="00497897">
      <w:tab/>
    </w:r>
    <w:r w:rsidR="002E4013" w:rsidRPr="002E4013">
      <w:fldChar w:fldCharType="begin"/>
    </w:r>
    <w:r w:rsidR="002E4013" w:rsidRPr="002E4013">
      <w:instrText xml:space="preserve"> PAGE   \* MERGEFORMAT </w:instrText>
    </w:r>
    <w:r w:rsidR="002E4013" w:rsidRPr="002E4013">
      <w:fldChar w:fldCharType="separate"/>
    </w:r>
    <w:r w:rsidR="007412EF">
      <w:t>19</w:t>
    </w:r>
    <w:r w:rsidR="002E4013" w:rsidRPr="002E401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A7E67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9EE8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7C86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FC11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6AC35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36B7E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FAB5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50DB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14EE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1E1C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E2015C"/>
    <w:multiLevelType w:val="hybridMultilevel"/>
    <w:tmpl w:val="7AD84E86"/>
    <w:lvl w:ilvl="0" w:tplc="57304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820EF"/>
    <w:multiLevelType w:val="hybridMultilevel"/>
    <w:tmpl w:val="17208228"/>
    <w:lvl w:ilvl="0" w:tplc="C8C82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7A3828"/>
    <w:multiLevelType w:val="hybridMultilevel"/>
    <w:tmpl w:val="DEA616D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3582102"/>
    <w:multiLevelType w:val="hybridMultilevel"/>
    <w:tmpl w:val="76006804"/>
    <w:lvl w:ilvl="0" w:tplc="3774B702">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CF5649"/>
    <w:multiLevelType w:val="hybridMultilevel"/>
    <w:tmpl w:val="BA467E1C"/>
    <w:lvl w:ilvl="0" w:tplc="F25086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1B6557D"/>
    <w:multiLevelType w:val="hybridMultilevel"/>
    <w:tmpl w:val="DEA616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7714F8"/>
    <w:multiLevelType w:val="hybridMultilevel"/>
    <w:tmpl w:val="C2AE4176"/>
    <w:lvl w:ilvl="0" w:tplc="20827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FF6C53"/>
    <w:multiLevelType w:val="hybridMultilevel"/>
    <w:tmpl w:val="60F8A7A4"/>
    <w:lvl w:ilvl="0" w:tplc="D5E6884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229719E"/>
    <w:multiLevelType w:val="hybridMultilevel"/>
    <w:tmpl w:val="38F8FFB0"/>
    <w:lvl w:ilvl="0" w:tplc="66DA59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A29378D"/>
    <w:multiLevelType w:val="hybridMultilevel"/>
    <w:tmpl w:val="FDF417DA"/>
    <w:lvl w:ilvl="0" w:tplc="213425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EC6A2E"/>
    <w:multiLevelType w:val="hybridMultilevel"/>
    <w:tmpl w:val="593844FA"/>
    <w:lvl w:ilvl="0" w:tplc="C9BCD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0789074">
    <w:abstractNumId w:val="17"/>
  </w:num>
  <w:num w:numId="2" w16cid:durableId="1271351823">
    <w:abstractNumId w:val="13"/>
  </w:num>
  <w:num w:numId="3" w16cid:durableId="1538196930">
    <w:abstractNumId w:val="9"/>
  </w:num>
  <w:num w:numId="4" w16cid:durableId="256601302">
    <w:abstractNumId w:val="7"/>
  </w:num>
  <w:num w:numId="5" w16cid:durableId="756564003">
    <w:abstractNumId w:val="6"/>
  </w:num>
  <w:num w:numId="6" w16cid:durableId="313335897">
    <w:abstractNumId w:val="5"/>
  </w:num>
  <w:num w:numId="7" w16cid:durableId="631835725">
    <w:abstractNumId w:val="4"/>
  </w:num>
  <w:num w:numId="8" w16cid:durableId="655380309">
    <w:abstractNumId w:val="8"/>
  </w:num>
  <w:num w:numId="9" w16cid:durableId="512454539">
    <w:abstractNumId w:val="3"/>
  </w:num>
  <w:num w:numId="10" w16cid:durableId="1958563708">
    <w:abstractNumId w:val="2"/>
  </w:num>
  <w:num w:numId="11" w16cid:durableId="1255624354">
    <w:abstractNumId w:val="1"/>
  </w:num>
  <w:num w:numId="12" w16cid:durableId="1166287073">
    <w:abstractNumId w:val="0"/>
  </w:num>
  <w:num w:numId="13" w16cid:durableId="173956524">
    <w:abstractNumId w:val="13"/>
    <w:lvlOverride w:ilvl="0">
      <w:startOverride w:val="1"/>
    </w:lvlOverride>
  </w:num>
  <w:num w:numId="14" w16cid:durableId="251623780">
    <w:abstractNumId w:val="13"/>
    <w:lvlOverride w:ilvl="0">
      <w:startOverride w:val="1"/>
    </w:lvlOverride>
  </w:num>
  <w:num w:numId="15" w16cid:durableId="2050496555">
    <w:abstractNumId w:val="13"/>
    <w:lvlOverride w:ilvl="0">
      <w:startOverride w:val="1"/>
    </w:lvlOverride>
  </w:num>
  <w:num w:numId="16" w16cid:durableId="1904098277">
    <w:abstractNumId w:val="13"/>
    <w:lvlOverride w:ilvl="0">
      <w:startOverride w:val="1"/>
    </w:lvlOverride>
  </w:num>
  <w:num w:numId="17" w16cid:durableId="983777044">
    <w:abstractNumId w:val="13"/>
    <w:lvlOverride w:ilvl="0">
      <w:startOverride w:val="1"/>
    </w:lvlOverride>
  </w:num>
  <w:num w:numId="18" w16cid:durableId="277416785">
    <w:abstractNumId w:val="13"/>
    <w:lvlOverride w:ilvl="0">
      <w:startOverride w:val="1"/>
    </w:lvlOverride>
  </w:num>
  <w:num w:numId="19" w16cid:durableId="778138369">
    <w:abstractNumId w:val="13"/>
    <w:lvlOverride w:ilvl="0">
      <w:startOverride w:val="1"/>
    </w:lvlOverride>
  </w:num>
  <w:num w:numId="20" w16cid:durableId="660621707">
    <w:abstractNumId w:val="13"/>
    <w:lvlOverride w:ilvl="0">
      <w:startOverride w:val="1"/>
    </w:lvlOverride>
  </w:num>
  <w:num w:numId="21" w16cid:durableId="1356732254">
    <w:abstractNumId w:val="13"/>
  </w:num>
  <w:num w:numId="22" w16cid:durableId="1306742807">
    <w:abstractNumId w:val="13"/>
    <w:lvlOverride w:ilvl="0">
      <w:startOverride w:val="1"/>
    </w:lvlOverride>
  </w:num>
  <w:num w:numId="23" w16cid:durableId="974406918">
    <w:abstractNumId w:val="13"/>
    <w:lvlOverride w:ilvl="0">
      <w:startOverride w:val="1"/>
    </w:lvlOverride>
  </w:num>
  <w:num w:numId="24" w16cid:durableId="403377265">
    <w:abstractNumId w:val="13"/>
    <w:lvlOverride w:ilvl="0">
      <w:startOverride w:val="1"/>
    </w:lvlOverride>
  </w:num>
  <w:num w:numId="25" w16cid:durableId="1917977205">
    <w:abstractNumId w:val="13"/>
    <w:lvlOverride w:ilvl="0">
      <w:startOverride w:val="1"/>
    </w:lvlOverride>
  </w:num>
  <w:num w:numId="26" w16cid:durableId="529025808">
    <w:abstractNumId w:val="13"/>
    <w:lvlOverride w:ilvl="0">
      <w:startOverride w:val="1"/>
    </w:lvlOverride>
  </w:num>
  <w:num w:numId="27" w16cid:durableId="978143906">
    <w:abstractNumId w:val="20"/>
  </w:num>
  <w:num w:numId="28" w16cid:durableId="3827562">
    <w:abstractNumId w:val="13"/>
    <w:lvlOverride w:ilvl="0">
      <w:startOverride w:val="1"/>
    </w:lvlOverride>
  </w:num>
  <w:num w:numId="29" w16cid:durableId="1072896050">
    <w:abstractNumId w:val="16"/>
  </w:num>
  <w:num w:numId="30" w16cid:durableId="441924460">
    <w:abstractNumId w:val="13"/>
    <w:lvlOverride w:ilvl="0">
      <w:startOverride w:val="1"/>
    </w:lvlOverride>
  </w:num>
  <w:num w:numId="31" w16cid:durableId="421688396">
    <w:abstractNumId w:val="11"/>
  </w:num>
  <w:num w:numId="32" w16cid:durableId="323945618">
    <w:abstractNumId w:val="13"/>
    <w:lvlOverride w:ilvl="0">
      <w:startOverride w:val="1"/>
    </w:lvlOverride>
  </w:num>
  <w:num w:numId="33" w16cid:durableId="1411924121">
    <w:abstractNumId w:val="19"/>
  </w:num>
  <w:num w:numId="34" w16cid:durableId="616762975">
    <w:abstractNumId w:val="13"/>
    <w:lvlOverride w:ilvl="0">
      <w:startOverride w:val="1"/>
    </w:lvlOverride>
  </w:num>
  <w:num w:numId="35" w16cid:durableId="495999013">
    <w:abstractNumId w:val="10"/>
  </w:num>
  <w:num w:numId="36" w16cid:durableId="422074098">
    <w:abstractNumId w:val="13"/>
    <w:lvlOverride w:ilvl="0">
      <w:startOverride w:val="1"/>
    </w:lvlOverride>
  </w:num>
  <w:num w:numId="37" w16cid:durableId="1004940350">
    <w:abstractNumId w:val="15"/>
  </w:num>
  <w:num w:numId="38" w16cid:durableId="49119210">
    <w:abstractNumId w:val="13"/>
    <w:lvlOverride w:ilvl="0">
      <w:startOverride w:val="1"/>
    </w:lvlOverride>
  </w:num>
  <w:num w:numId="39" w16cid:durableId="1165777268">
    <w:abstractNumId w:val="13"/>
    <w:lvlOverride w:ilvl="0">
      <w:startOverride w:val="1"/>
    </w:lvlOverride>
  </w:num>
  <w:num w:numId="40" w16cid:durableId="2121609931">
    <w:abstractNumId w:val="13"/>
  </w:num>
  <w:num w:numId="41" w16cid:durableId="810706257">
    <w:abstractNumId w:val="13"/>
    <w:lvlOverride w:ilvl="0">
      <w:startOverride w:val="1"/>
    </w:lvlOverride>
  </w:num>
  <w:num w:numId="42" w16cid:durableId="635794971">
    <w:abstractNumId w:val="12"/>
  </w:num>
  <w:num w:numId="43" w16cid:durableId="129441070">
    <w:abstractNumId w:val="18"/>
  </w:num>
  <w:num w:numId="44" w16cid:durableId="580985487">
    <w:abstractNumId w:val="14"/>
  </w:num>
  <w:num w:numId="45" w16cid:durableId="1228802169">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S1NDMzMDS3NDO3NLRU0lEKTi0uzszPAykwrQUAZB3/7ywAAAA="/>
  </w:docVars>
  <w:rsids>
    <w:rsidRoot w:val="009041FF"/>
    <w:rsid w:val="000072BB"/>
    <w:rsid w:val="00014A06"/>
    <w:rsid w:val="00015B97"/>
    <w:rsid w:val="00021B71"/>
    <w:rsid w:val="000318E7"/>
    <w:rsid w:val="00034559"/>
    <w:rsid w:val="000354D6"/>
    <w:rsid w:val="00037AD6"/>
    <w:rsid w:val="00037CAE"/>
    <w:rsid w:val="00051808"/>
    <w:rsid w:val="00051916"/>
    <w:rsid w:val="000547B2"/>
    <w:rsid w:val="000550D8"/>
    <w:rsid w:val="00060EDE"/>
    <w:rsid w:val="00073442"/>
    <w:rsid w:val="00073A2A"/>
    <w:rsid w:val="00074137"/>
    <w:rsid w:val="00075517"/>
    <w:rsid w:val="00075722"/>
    <w:rsid w:val="000921FF"/>
    <w:rsid w:val="00095928"/>
    <w:rsid w:val="00097783"/>
    <w:rsid w:val="000A06A0"/>
    <w:rsid w:val="000C32F8"/>
    <w:rsid w:val="000C35B4"/>
    <w:rsid w:val="000D0D62"/>
    <w:rsid w:val="000D0F9E"/>
    <w:rsid w:val="000D1E81"/>
    <w:rsid w:val="000D6167"/>
    <w:rsid w:val="000E384B"/>
    <w:rsid w:val="000E6828"/>
    <w:rsid w:val="000E6D00"/>
    <w:rsid w:val="000E6F5A"/>
    <w:rsid w:val="000F7E8B"/>
    <w:rsid w:val="00112E97"/>
    <w:rsid w:val="0011728D"/>
    <w:rsid w:val="001222E7"/>
    <w:rsid w:val="001265CF"/>
    <w:rsid w:val="0012671F"/>
    <w:rsid w:val="0013261D"/>
    <w:rsid w:val="00135CC5"/>
    <w:rsid w:val="001361DA"/>
    <w:rsid w:val="00141B9B"/>
    <w:rsid w:val="00142555"/>
    <w:rsid w:val="00145504"/>
    <w:rsid w:val="0014698F"/>
    <w:rsid w:val="00152326"/>
    <w:rsid w:val="001542C6"/>
    <w:rsid w:val="00160FD6"/>
    <w:rsid w:val="00161C14"/>
    <w:rsid w:val="001636E4"/>
    <w:rsid w:val="001638CB"/>
    <w:rsid w:val="001712A1"/>
    <w:rsid w:val="001748C2"/>
    <w:rsid w:val="00176C17"/>
    <w:rsid w:val="00183382"/>
    <w:rsid w:val="00186123"/>
    <w:rsid w:val="00192A8F"/>
    <w:rsid w:val="001A1CFB"/>
    <w:rsid w:val="001A2C53"/>
    <w:rsid w:val="001A7C7C"/>
    <w:rsid w:val="001B1353"/>
    <w:rsid w:val="001C5C90"/>
    <w:rsid w:val="001D2C07"/>
    <w:rsid w:val="001E4A38"/>
    <w:rsid w:val="001E4EF4"/>
    <w:rsid w:val="001E736E"/>
    <w:rsid w:val="001F096F"/>
    <w:rsid w:val="001F1712"/>
    <w:rsid w:val="001F247D"/>
    <w:rsid w:val="001F75AE"/>
    <w:rsid w:val="00200E6D"/>
    <w:rsid w:val="002071E8"/>
    <w:rsid w:val="002121E5"/>
    <w:rsid w:val="0021252B"/>
    <w:rsid w:val="00215076"/>
    <w:rsid w:val="002156DF"/>
    <w:rsid w:val="00220B69"/>
    <w:rsid w:val="00222822"/>
    <w:rsid w:val="0023361B"/>
    <w:rsid w:val="00233E15"/>
    <w:rsid w:val="00235DA9"/>
    <w:rsid w:val="00236DD7"/>
    <w:rsid w:val="00242838"/>
    <w:rsid w:val="002479F8"/>
    <w:rsid w:val="002538C1"/>
    <w:rsid w:val="00257B62"/>
    <w:rsid w:val="00262686"/>
    <w:rsid w:val="002710EC"/>
    <w:rsid w:val="00271655"/>
    <w:rsid w:val="00272645"/>
    <w:rsid w:val="00272A81"/>
    <w:rsid w:val="00275DC5"/>
    <w:rsid w:val="00286133"/>
    <w:rsid w:val="002916EA"/>
    <w:rsid w:val="00291776"/>
    <w:rsid w:val="002933C6"/>
    <w:rsid w:val="00293A2C"/>
    <w:rsid w:val="00297C4A"/>
    <w:rsid w:val="002A08AF"/>
    <w:rsid w:val="002B0489"/>
    <w:rsid w:val="002B2282"/>
    <w:rsid w:val="002B39E6"/>
    <w:rsid w:val="002C20EB"/>
    <w:rsid w:val="002C2F66"/>
    <w:rsid w:val="002C7316"/>
    <w:rsid w:val="002E0AC8"/>
    <w:rsid w:val="002E1DE9"/>
    <w:rsid w:val="002E20F3"/>
    <w:rsid w:val="002E3288"/>
    <w:rsid w:val="002E4013"/>
    <w:rsid w:val="002E6503"/>
    <w:rsid w:val="002E6766"/>
    <w:rsid w:val="002E6F2B"/>
    <w:rsid w:val="00302C9B"/>
    <w:rsid w:val="00305582"/>
    <w:rsid w:val="003075E7"/>
    <w:rsid w:val="0031167C"/>
    <w:rsid w:val="003350DF"/>
    <w:rsid w:val="003429F3"/>
    <w:rsid w:val="00343BAA"/>
    <w:rsid w:val="00363DCF"/>
    <w:rsid w:val="00364B4C"/>
    <w:rsid w:val="0037518D"/>
    <w:rsid w:val="00376716"/>
    <w:rsid w:val="00382423"/>
    <w:rsid w:val="00386AA5"/>
    <w:rsid w:val="00386E02"/>
    <w:rsid w:val="00397223"/>
    <w:rsid w:val="003A1F87"/>
    <w:rsid w:val="003A2A4E"/>
    <w:rsid w:val="003A4760"/>
    <w:rsid w:val="003A49FE"/>
    <w:rsid w:val="003A70C2"/>
    <w:rsid w:val="003B3DC6"/>
    <w:rsid w:val="003B5D8B"/>
    <w:rsid w:val="003B7CD6"/>
    <w:rsid w:val="003C0800"/>
    <w:rsid w:val="003C4F8A"/>
    <w:rsid w:val="003D27BF"/>
    <w:rsid w:val="003D416A"/>
    <w:rsid w:val="003D59FC"/>
    <w:rsid w:val="003E5280"/>
    <w:rsid w:val="003E65AF"/>
    <w:rsid w:val="003E6F97"/>
    <w:rsid w:val="003E766B"/>
    <w:rsid w:val="003F0F27"/>
    <w:rsid w:val="003F1EC5"/>
    <w:rsid w:val="003F6FFA"/>
    <w:rsid w:val="0040052B"/>
    <w:rsid w:val="004066C5"/>
    <w:rsid w:val="00410900"/>
    <w:rsid w:val="00413C37"/>
    <w:rsid w:val="004240DA"/>
    <w:rsid w:val="00426ED3"/>
    <w:rsid w:val="004276A3"/>
    <w:rsid w:val="00430B91"/>
    <w:rsid w:val="004313BD"/>
    <w:rsid w:val="0043166C"/>
    <w:rsid w:val="00431A27"/>
    <w:rsid w:val="00432F5E"/>
    <w:rsid w:val="004342B8"/>
    <w:rsid w:val="00434A95"/>
    <w:rsid w:val="004408B3"/>
    <w:rsid w:val="00440D78"/>
    <w:rsid w:val="0044267E"/>
    <w:rsid w:val="004460F1"/>
    <w:rsid w:val="00450168"/>
    <w:rsid w:val="00452178"/>
    <w:rsid w:val="004528A8"/>
    <w:rsid w:val="00462812"/>
    <w:rsid w:val="00462C5C"/>
    <w:rsid w:val="004760DA"/>
    <w:rsid w:val="004763B1"/>
    <w:rsid w:val="004777B7"/>
    <w:rsid w:val="00477DE8"/>
    <w:rsid w:val="00481317"/>
    <w:rsid w:val="004814E1"/>
    <w:rsid w:val="00484B2C"/>
    <w:rsid w:val="00487D97"/>
    <w:rsid w:val="00490596"/>
    <w:rsid w:val="00494E83"/>
    <w:rsid w:val="00497897"/>
    <w:rsid w:val="004B1FD1"/>
    <w:rsid w:val="004C21C1"/>
    <w:rsid w:val="004C4D73"/>
    <w:rsid w:val="004C558C"/>
    <w:rsid w:val="004C5A50"/>
    <w:rsid w:val="004D3993"/>
    <w:rsid w:val="004D47CE"/>
    <w:rsid w:val="004D7F5F"/>
    <w:rsid w:val="004E388B"/>
    <w:rsid w:val="004F113E"/>
    <w:rsid w:val="004F120A"/>
    <w:rsid w:val="005025D0"/>
    <w:rsid w:val="00502C29"/>
    <w:rsid w:val="005036C7"/>
    <w:rsid w:val="00503885"/>
    <w:rsid w:val="005068BB"/>
    <w:rsid w:val="00510CDF"/>
    <w:rsid w:val="00511D75"/>
    <w:rsid w:val="005140E0"/>
    <w:rsid w:val="00514ECA"/>
    <w:rsid w:val="005173A1"/>
    <w:rsid w:val="0052191C"/>
    <w:rsid w:val="00522476"/>
    <w:rsid w:val="00523D5D"/>
    <w:rsid w:val="00524479"/>
    <w:rsid w:val="00535133"/>
    <w:rsid w:val="00536F57"/>
    <w:rsid w:val="00546E85"/>
    <w:rsid w:val="00546EB2"/>
    <w:rsid w:val="00546F27"/>
    <w:rsid w:val="0054737F"/>
    <w:rsid w:val="0055207E"/>
    <w:rsid w:val="005563E1"/>
    <w:rsid w:val="005568A8"/>
    <w:rsid w:val="00565C58"/>
    <w:rsid w:val="00565D4A"/>
    <w:rsid w:val="0056730E"/>
    <w:rsid w:val="005713ED"/>
    <w:rsid w:val="005739AD"/>
    <w:rsid w:val="00574C1D"/>
    <w:rsid w:val="005A2672"/>
    <w:rsid w:val="005A2BF2"/>
    <w:rsid w:val="005A42C4"/>
    <w:rsid w:val="005B3555"/>
    <w:rsid w:val="005C2C9E"/>
    <w:rsid w:val="005C6BBC"/>
    <w:rsid w:val="005D4A86"/>
    <w:rsid w:val="005E2F5C"/>
    <w:rsid w:val="005E75E2"/>
    <w:rsid w:val="005E7B98"/>
    <w:rsid w:val="005F203B"/>
    <w:rsid w:val="005F483E"/>
    <w:rsid w:val="005F5B18"/>
    <w:rsid w:val="0060111E"/>
    <w:rsid w:val="006043FA"/>
    <w:rsid w:val="0061001E"/>
    <w:rsid w:val="00615953"/>
    <w:rsid w:val="0061655E"/>
    <w:rsid w:val="0062250B"/>
    <w:rsid w:val="0062322C"/>
    <w:rsid w:val="00631A14"/>
    <w:rsid w:val="006352AE"/>
    <w:rsid w:val="0064114B"/>
    <w:rsid w:val="00641D18"/>
    <w:rsid w:val="00642460"/>
    <w:rsid w:val="00644126"/>
    <w:rsid w:val="00645117"/>
    <w:rsid w:val="00651856"/>
    <w:rsid w:val="00653104"/>
    <w:rsid w:val="00654E0A"/>
    <w:rsid w:val="006714B2"/>
    <w:rsid w:val="006725AF"/>
    <w:rsid w:val="00674180"/>
    <w:rsid w:val="00676508"/>
    <w:rsid w:val="00676A0B"/>
    <w:rsid w:val="0068072F"/>
    <w:rsid w:val="00680F8A"/>
    <w:rsid w:val="00687185"/>
    <w:rsid w:val="00687BB8"/>
    <w:rsid w:val="006900F0"/>
    <w:rsid w:val="00692737"/>
    <w:rsid w:val="006A2E5F"/>
    <w:rsid w:val="006B40F9"/>
    <w:rsid w:val="006B5253"/>
    <w:rsid w:val="006B6B60"/>
    <w:rsid w:val="006B733F"/>
    <w:rsid w:val="006B7461"/>
    <w:rsid w:val="006B76F2"/>
    <w:rsid w:val="006C09FF"/>
    <w:rsid w:val="006C1A36"/>
    <w:rsid w:val="006D180E"/>
    <w:rsid w:val="006D7405"/>
    <w:rsid w:val="006F14FE"/>
    <w:rsid w:val="006F1AB1"/>
    <w:rsid w:val="006F50DD"/>
    <w:rsid w:val="00701B41"/>
    <w:rsid w:val="007052A3"/>
    <w:rsid w:val="00715D92"/>
    <w:rsid w:val="007215F1"/>
    <w:rsid w:val="0072166C"/>
    <w:rsid w:val="00724527"/>
    <w:rsid w:val="007248A4"/>
    <w:rsid w:val="0072660C"/>
    <w:rsid w:val="00727452"/>
    <w:rsid w:val="00727A93"/>
    <w:rsid w:val="00731B24"/>
    <w:rsid w:val="00737B53"/>
    <w:rsid w:val="007412EF"/>
    <w:rsid w:val="0074176D"/>
    <w:rsid w:val="00742927"/>
    <w:rsid w:val="00742E9E"/>
    <w:rsid w:val="00742EA7"/>
    <w:rsid w:val="00745130"/>
    <w:rsid w:val="007454C1"/>
    <w:rsid w:val="00745B0C"/>
    <w:rsid w:val="007477F8"/>
    <w:rsid w:val="00747840"/>
    <w:rsid w:val="00754236"/>
    <w:rsid w:val="007667A3"/>
    <w:rsid w:val="007742DF"/>
    <w:rsid w:val="00775DBE"/>
    <w:rsid w:val="007764B9"/>
    <w:rsid w:val="00782C30"/>
    <w:rsid w:val="00793CA0"/>
    <w:rsid w:val="00796679"/>
    <w:rsid w:val="007A0B26"/>
    <w:rsid w:val="007A5F26"/>
    <w:rsid w:val="007A63EA"/>
    <w:rsid w:val="007A78E3"/>
    <w:rsid w:val="007B64F9"/>
    <w:rsid w:val="007D5720"/>
    <w:rsid w:val="007E1344"/>
    <w:rsid w:val="007E294B"/>
    <w:rsid w:val="007E4E71"/>
    <w:rsid w:val="0081026F"/>
    <w:rsid w:val="00813AF2"/>
    <w:rsid w:val="008140AA"/>
    <w:rsid w:val="00814795"/>
    <w:rsid w:val="00815554"/>
    <w:rsid w:val="008227D1"/>
    <w:rsid w:val="0083267A"/>
    <w:rsid w:val="00833BD7"/>
    <w:rsid w:val="008344A6"/>
    <w:rsid w:val="00834626"/>
    <w:rsid w:val="00834D22"/>
    <w:rsid w:val="00840783"/>
    <w:rsid w:val="00845F1E"/>
    <w:rsid w:val="00847336"/>
    <w:rsid w:val="008478D8"/>
    <w:rsid w:val="00853468"/>
    <w:rsid w:val="00854C59"/>
    <w:rsid w:val="00855BF0"/>
    <w:rsid w:val="00860645"/>
    <w:rsid w:val="00871C2E"/>
    <w:rsid w:val="00873696"/>
    <w:rsid w:val="00874D19"/>
    <w:rsid w:val="0088551C"/>
    <w:rsid w:val="00887FAD"/>
    <w:rsid w:val="00890C29"/>
    <w:rsid w:val="008911C4"/>
    <w:rsid w:val="00893161"/>
    <w:rsid w:val="00893BCE"/>
    <w:rsid w:val="00894161"/>
    <w:rsid w:val="0089771F"/>
    <w:rsid w:val="008A5CE3"/>
    <w:rsid w:val="008B00DD"/>
    <w:rsid w:val="008B11C8"/>
    <w:rsid w:val="008C01F6"/>
    <w:rsid w:val="008C02B3"/>
    <w:rsid w:val="008C14C9"/>
    <w:rsid w:val="008D458D"/>
    <w:rsid w:val="008E6B61"/>
    <w:rsid w:val="008F5130"/>
    <w:rsid w:val="009041FF"/>
    <w:rsid w:val="0090666C"/>
    <w:rsid w:val="009067C0"/>
    <w:rsid w:val="009069C1"/>
    <w:rsid w:val="00910403"/>
    <w:rsid w:val="00914161"/>
    <w:rsid w:val="00915943"/>
    <w:rsid w:val="0092329B"/>
    <w:rsid w:val="00923672"/>
    <w:rsid w:val="00923A04"/>
    <w:rsid w:val="00925985"/>
    <w:rsid w:val="00925A06"/>
    <w:rsid w:val="00934F0F"/>
    <w:rsid w:val="00944EA0"/>
    <w:rsid w:val="00945973"/>
    <w:rsid w:val="00947442"/>
    <w:rsid w:val="00951393"/>
    <w:rsid w:val="00960B38"/>
    <w:rsid w:val="00970504"/>
    <w:rsid w:val="00970B6A"/>
    <w:rsid w:val="00976765"/>
    <w:rsid w:val="00976E81"/>
    <w:rsid w:val="00984872"/>
    <w:rsid w:val="009927B7"/>
    <w:rsid w:val="00992897"/>
    <w:rsid w:val="00993062"/>
    <w:rsid w:val="009937E1"/>
    <w:rsid w:val="00994A98"/>
    <w:rsid w:val="009A20D8"/>
    <w:rsid w:val="009B1FED"/>
    <w:rsid w:val="009B33B6"/>
    <w:rsid w:val="009B5E82"/>
    <w:rsid w:val="009B66D0"/>
    <w:rsid w:val="009C18FF"/>
    <w:rsid w:val="009C3A4D"/>
    <w:rsid w:val="009D00C0"/>
    <w:rsid w:val="009D0AA6"/>
    <w:rsid w:val="009D15F9"/>
    <w:rsid w:val="009D3029"/>
    <w:rsid w:val="009D3157"/>
    <w:rsid w:val="009D3EB1"/>
    <w:rsid w:val="009E415D"/>
    <w:rsid w:val="009F1F13"/>
    <w:rsid w:val="009F1F86"/>
    <w:rsid w:val="009F3AB7"/>
    <w:rsid w:val="009F4982"/>
    <w:rsid w:val="009F5BB1"/>
    <w:rsid w:val="009F6E99"/>
    <w:rsid w:val="00A01074"/>
    <w:rsid w:val="00A1056E"/>
    <w:rsid w:val="00A107E0"/>
    <w:rsid w:val="00A13745"/>
    <w:rsid w:val="00A172FC"/>
    <w:rsid w:val="00A17F42"/>
    <w:rsid w:val="00A32513"/>
    <w:rsid w:val="00A36905"/>
    <w:rsid w:val="00A4089D"/>
    <w:rsid w:val="00A4274F"/>
    <w:rsid w:val="00A454DE"/>
    <w:rsid w:val="00A508A1"/>
    <w:rsid w:val="00A54705"/>
    <w:rsid w:val="00A55570"/>
    <w:rsid w:val="00A556F6"/>
    <w:rsid w:val="00A63F39"/>
    <w:rsid w:val="00A65CE3"/>
    <w:rsid w:val="00A756FA"/>
    <w:rsid w:val="00A769AF"/>
    <w:rsid w:val="00A80C52"/>
    <w:rsid w:val="00A84810"/>
    <w:rsid w:val="00A84816"/>
    <w:rsid w:val="00A84DA0"/>
    <w:rsid w:val="00A87E26"/>
    <w:rsid w:val="00A91EA7"/>
    <w:rsid w:val="00A95554"/>
    <w:rsid w:val="00A95D00"/>
    <w:rsid w:val="00A95E46"/>
    <w:rsid w:val="00A967E6"/>
    <w:rsid w:val="00A96D22"/>
    <w:rsid w:val="00AA4D56"/>
    <w:rsid w:val="00AA6E5E"/>
    <w:rsid w:val="00AB082F"/>
    <w:rsid w:val="00AB09B7"/>
    <w:rsid w:val="00AB10AC"/>
    <w:rsid w:val="00AB2636"/>
    <w:rsid w:val="00AB5752"/>
    <w:rsid w:val="00AB6279"/>
    <w:rsid w:val="00AC0906"/>
    <w:rsid w:val="00AC335D"/>
    <w:rsid w:val="00AC73E1"/>
    <w:rsid w:val="00AD0A60"/>
    <w:rsid w:val="00AD7A22"/>
    <w:rsid w:val="00AE57E6"/>
    <w:rsid w:val="00AF1362"/>
    <w:rsid w:val="00AF2EF7"/>
    <w:rsid w:val="00B005C1"/>
    <w:rsid w:val="00B0209A"/>
    <w:rsid w:val="00B127E2"/>
    <w:rsid w:val="00B15A6A"/>
    <w:rsid w:val="00B21507"/>
    <w:rsid w:val="00B237E6"/>
    <w:rsid w:val="00B26875"/>
    <w:rsid w:val="00B33E02"/>
    <w:rsid w:val="00B47C82"/>
    <w:rsid w:val="00B519CD"/>
    <w:rsid w:val="00B542B7"/>
    <w:rsid w:val="00B545AB"/>
    <w:rsid w:val="00B55D14"/>
    <w:rsid w:val="00B61B57"/>
    <w:rsid w:val="00B64BD3"/>
    <w:rsid w:val="00B66E5A"/>
    <w:rsid w:val="00B679FA"/>
    <w:rsid w:val="00B70C58"/>
    <w:rsid w:val="00B70D57"/>
    <w:rsid w:val="00B753CD"/>
    <w:rsid w:val="00B754DF"/>
    <w:rsid w:val="00B76F03"/>
    <w:rsid w:val="00B8359E"/>
    <w:rsid w:val="00B83910"/>
    <w:rsid w:val="00B84730"/>
    <w:rsid w:val="00B8601E"/>
    <w:rsid w:val="00B86132"/>
    <w:rsid w:val="00B9392C"/>
    <w:rsid w:val="00B96BF9"/>
    <w:rsid w:val="00B96F66"/>
    <w:rsid w:val="00B97F87"/>
    <w:rsid w:val="00BA0B44"/>
    <w:rsid w:val="00BA7245"/>
    <w:rsid w:val="00BB280B"/>
    <w:rsid w:val="00BB4502"/>
    <w:rsid w:val="00BB5E67"/>
    <w:rsid w:val="00BB7FB2"/>
    <w:rsid w:val="00BC2D3B"/>
    <w:rsid w:val="00BD5565"/>
    <w:rsid w:val="00BD5E08"/>
    <w:rsid w:val="00BD603C"/>
    <w:rsid w:val="00BD7A99"/>
    <w:rsid w:val="00BE1CD9"/>
    <w:rsid w:val="00C0180B"/>
    <w:rsid w:val="00C17B2C"/>
    <w:rsid w:val="00C20825"/>
    <w:rsid w:val="00C234D2"/>
    <w:rsid w:val="00C24100"/>
    <w:rsid w:val="00C30173"/>
    <w:rsid w:val="00C34A04"/>
    <w:rsid w:val="00C42329"/>
    <w:rsid w:val="00C459AD"/>
    <w:rsid w:val="00C521D2"/>
    <w:rsid w:val="00C53593"/>
    <w:rsid w:val="00C56BDD"/>
    <w:rsid w:val="00C617EF"/>
    <w:rsid w:val="00C637C4"/>
    <w:rsid w:val="00C65EE7"/>
    <w:rsid w:val="00C709E2"/>
    <w:rsid w:val="00C70FE1"/>
    <w:rsid w:val="00C72284"/>
    <w:rsid w:val="00C72960"/>
    <w:rsid w:val="00C76641"/>
    <w:rsid w:val="00C76DC2"/>
    <w:rsid w:val="00C82DF8"/>
    <w:rsid w:val="00C85BB1"/>
    <w:rsid w:val="00C926BC"/>
    <w:rsid w:val="00C927AC"/>
    <w:rsid w:val="00C96C86"/>
    <w:rsid w:val="00CA230E"/>
    <w:rsid w:val="00CA6426"/>
    <w:rsid w:val="00CB1507"/>
    <w:rsid w:val="00CB3A12"/>
    <w:rsid w:val="00CC2BE4"/>
    <w:rsid w:val="00CD3B64"/>
    <w:rsid w:val="00CD5B67"/>
    <w:rsid w:val="00CE24D1"/>
    <w:rsid w:val="00CE3368"/>
    <w:rsid w:val="00CE5262"/>
    <w:rsid w:val="00CE5F79"/>
    <w:rsid w:val="00CE6089"/>
    <w:rsid w:val="00CF2075"/>
    <w:rsid w:val="00CF228B"/>
    <w:rsid w:val="00CF3F64"/>
    <w:rsid w:val="00CF6253"/>
    <w:rsid w:val="00D01B7C"/>
    <w:rsid w:val="00D01F7D"/>
    <w:rsid w:val="00D0361F"/>
    <w:rsid w:val="00D03714"/>
    <w:rsid w:val="00D06D04"/>
    <w:rsid w:val="00D1185F"/>
    <w:rsid w:val="00D12EED"/>
    <w:rsid w:val="00D134EC"/>
    <w:rsid w:val="00D155AF"/>
    <w:rsid w:val="00D15C0D"/>
    <w:rsid w:val="00D221B2"/>
    <w:rsid w:val="00D23128"/>
    <w:rsid w:val="00D25F9C"/>
    <w:rsid w:val="00D31C2F"/>
    <w:rsid w:val="00D3584B"/>
    <w:rsid w:val="00D37E4D"/>
    <w:rsid w:val="00D44688"/>
    <w:rsid w:val="00D45499"/>
    <w:rsid w:val="00D50E60"/>
    <w:rsid w:val="00D518C4"/>
    <w:rsid w:val="00D531FE"/>
    <w:rsid w:val="00D543B8"/>
    <w:rsid w:val="00D544FE"/>
    <w:rsid w:val="00D62097"/>
    <w:rsid w:val="00D62B4A"/>
    <w:rsid w:val="00D63229"/>
    <w:rsid w:val="00D63831"/>
    <w:rsid w:val="00D6783A"/>
    <w:rsid w:val="00D67F4E"/>
    <w:rsid w:val="00D71CD5"/>
    <w:rsid w:val="00D74332"/>
    <w:rsid w:val="00D75F8E"/>
    <w:rsid w:val="00D8109E"/>
    <w:rsid w:val="00D87795"/>
    <w:rsid w:val="00D90424"/>
    <w:rsid w:val="00D90F79"/>
    <w:rsid w:val="00D91F5B"/>
    <w:rsid w:val="00D933AF"/>
    <w:rsid w:val="00D967B8"/>
    <w:rsid w:val="00DA0199"/>
    <w:rsid w:val="00DA07D9"/>
    <w:rsid w:val="00DA0814"/>
    <w:rsid w:val="00DA0A6D"/>
    <w:rsid w:val="00DA0BF0"/>
    <w:rsid w:val="00DA0EE2"/>
    <w:rsid w:val="00DA3897"/>
    <w:rsid w:val="00DB3AF2"/>
    <w:rsid w:val="00DB60C4"/>
    <w:rsid w:val="00DB6AB6"/>
    <w:rsid w:val="00DC13F0"/>
    <w:rsid w:val="00DD4E49"/>
    <w:rsid w:val="00DE0D00"/>
    <w:rsid w:val="00DE25F5"/>
    <w:rsid w:val="00DE3948"/>
    <w:rsid w:val="00DF0A34"/>
    <w:rsid w:val="00DF0D1F"/>
    <w:rsid w:val="00DF27A8"/>
    <w:rsid w:val="00DF3664"/>
    <w:rsid w:val="00DF4344"/>
    <w:rsid w:val="00E00515"/>
    <w:rsid w:val="00E06C7A"/>
    <w:rsid w:val="00E06E16"/>
    <w:rsid w:val="00E07030"/>
    <w:rsid w:val="00E12775"/>
    <w:rsid w:val="00E14B68"/>
    <w:rsid w:val="00E164BC"/>
    <w:rsid w:val="00E21003"/>
    <w:rsid w:val="00E241C3"/>
    <w:rsid w:val="00E245C0"/>
    <w:rsid w:val="00E24905"/>
    <w:rsid w:val="00E30BF4"/>
    <w:rsid w:val="00E5049F"/>
    <w:rsid w:val="00E57B88"/>
    <w:rsid w:val="00E60322"/>
    <w:rsid w:val="00E611E9"/>
    <w:rsid w:val="00E63EED"/>
    <w:rsid w:val="00E652E0"/>
    <w:rsid w:val="00E70EDD"/>
    <w:rsid w:val="00E839DC"/>
    <w:rsid w:val="00E91837"/>
    <w:rsid w:val="00E9196E"/>
    <w:rsid w:val="00E92BBD"/>
    <w:rsid w:val="00E93465"/>
    <w:rsid w:val="00E9359D"/>
    <w:rsid w:val="00E96A00"/>
    <w:rsid w:val="00EA3216"/>
    <w:rsid w:val="00EA3C70"/>
    <w:rsid w:val="00EA3F4A"/>
    <w:rsid w:val="00EA6A80"/>
    <w:rsid w:val="00EA72B2"/>
    <w:rsid w:val="00EA7F07"/>
    <w:rsid w:val="00EB2D5B"/>
    <w:rsid w:val="00EB32F4"/>
    <w:rsid w:val="00EC1756"/>
    <w:rsid w:val="00ED1C33"/>
    <w:rsid w:val="00ED2938"/>
    <w:rsid w:val="00ED5E4F"/>
    <w:rsid w:val="00EE084D"/>
    <w:rsid w:val="00EE4319"/>
    <w:rsid w:val="00EE520E"/>
    <w:rsid w:val="00EE5E84"/>
    <w:rsid w:val="00F00F89"/>
    <w:rsid w:val="00F06595"/>
    <w:rsid w:val="00F10ADD"/>
    <w:rsid w:val="00F12246"/>
    <w:rsid w:val="00F12628"/>
    <w:rsid w:val="00F148F5"/>
    <w:rsid w:val="00F14989"/>
    <w:rsid w:val="00F200FC"/>
    <w:rsid w:val="00F2433B"/>
    <w:rsid w:val="00F26607"/>
    <w:rsid w:val="00F34416"/>
    <w:rsid w:val="00F34B61"/>
    <w:rsid w:val="00F35495"/>
    <w:rsid w:val="00F51840"/>
    <w:rsid w:val="00F60399"/>
    <w:rsid w:val="00F669F3"/>
    <w:rsid w:val="00F7010F"/>
    <w:rsid w:val="00F71242"/>
    <w:rsid w:val="00F76CBD"/>
    <w:rsid w:val="00F80038"/>
    <w:rsid w:val="00F83814"/>
    <w:rsid w:val="00F86255"/>
    <w:rsid w:val="00F92913"/>
    <w:rsid w:val="00F95E13"/>
    <w:rsid w:val="00FA1036"/>
    <w:rsid w:val="00FA46C1"/>
    <w:rsid w:val="00FA7040"/>
    <w:rsid w:val="00FB4F43"/>
    <w:rsid w:val="00FB6133"/>
    <w:rsid w:val="00FB7674"/>
    <w:rsid w:val="00FC0F39"/>
    <w:rsid w:val="00FC13EB"/>
    <w:rsid w:val="00FC30DE"/>
    <w:rsid w:val="00FC40BA"/>
    <w:rsid w:val="00FC67EC"/>
    <w:rsid w:val="00FD1368"/>
    <w:rsid w:val="00FD4019"/>
    <w:rsid w:val="00FD459D"/>
    <w:rsid w:val="00FD4703"/>
    <w:rsid w:val="00FE019D"/>
    <w:rsid w:val="00FE162C"/>
    <w:rsid w:val="00FE3102"/>
    <w:rsid w:val="00FE65CB"/>
    <w:rsid w:val="00FF61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45B22"/>
  <w15:chartTrackingRefBased/>
  <w15:docId w15:val="{5449C2EA-4DFB-43B7-A44C-9663ED24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1344"/>
    <w:pPr>
      <w:spacing w:after="240" w:line="288" w:lineRule="auto"/>
      <w:jc w:val="both"/>
    </w:pPr>
    <w:rPr>
      <w:rFonts w:ascii="Garamond" w:eastAsiaTheme="minorEastAsia" w:hAnsi="Garamond"/>
      <w:sz w:val="26"/>
      <w:szCs w:val="26"/>
      <w:lang w:eastAsia="ja-JP"/>
    </w:rPr>
  </w:style>
  <w:style w:type="paragraph" w:styleId="Heading1">
    <w:name w:val="heading 1"/>
    <w:basedOn w:val="Normal"/>
    <w:next w:val="Normal"/>
    <w:link w:val="Heading1Char"/>
    <w:uiPriority w:val="9"/>
    <w:qFormat/>
    <w:rsid w:val="006900F0"/>
    <w:pPr>
      <w:keepNext/>
      <w:keepLines/>
      <w:pageBreakBefore/>
      <w:pBdr>
        <w:bottom w:val="single" w:sz="4" w:space="1" w:color="auto"/>
      </w:pBdr>
      <w:spacing w:after="0" w:line="480" w:lineRule="atLeast"/>
      <w:outlineLvl w:val="0"/>
    </w:pPr>
    <w:rPr>
      <w:rFonts w:eastAsiaTheme="majorEastAsia" w:cstheme="majorBidi"/>
      <w:b/>
      <w:color w:val="000000" w:themeColor="text1"/>
      <w:sz w:val="44"/>
      <w:szCs w:val="44"/>
    </w:rPr>
  </w:style>
  <w:style w:type="paragraph" w:styleId="Heading4">
    <w:name w:val="heading 4"/>
    <w:basedOn w:val="Normal"/>
    <w:next w:val="Normal"/>
    <w:link w:val="Heading4Char"/>
    <w:uiPriority w:val="9"/>
    <w:semiHidden/>
    <w:unhideWhenUsed/>
    <w:qFormat/>
    <w:rsid w:val="00FB4F4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E1344"/>
    <w:pPr>
      <w:numPr>
        <w:numId w:val="2"/>
      </w:numPr>
      <w:spacing w:before="240" w:after="120"/>
    </w:pPr>
  </w:style>
  <w:style w:type="paragraph" w:styleId="BalloonText">
    <w:name w:val="Balloon Text"/>
    <w:basedOn w:val="Normal"/>
    <w:link w:val="BalloonTextChar"/>
    <w:uiPriority w:val="99"/>
    <w:semiHidden/>
    <w:unhideWhenUsed/>
    <w:rsid w:val="001F7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5AE"/>
    <w:rPr>
      <w:rFonts w:ascii="Segoe UI" w:hAnsi="Segoe UI" w:cs="Segoe UI"/>
      <w:sz w:val="18"/>
      <w:szCs w:val="18"/>
    </w:rPr>
  </w:style>
  <w:style w:type="character" w:styleId="Hyperlink">
    <w:name w:val="Hyperlink"/>
    <w:basedOn w:val="DefaultParagraphFont"/>
    <w:uiPriority w:val="99"/>
    <w:unhideWhenUsed/>
    <w:rsid w:val="001F75AE"/>
    <w:rPr>
      <w:color w:val="0563C1" w:themeColor="hyperlink"/>
      <w:u w:val="single"/>
    </w:rPr>
  </w:style>
  <w:style w:type="character" w:customStyle="1" w:styleId="UnresolvedMention1">
    <w:name w:val="Unresolved Mention1"/>
    <w:basedOn w:val="DefaultParagraphFont"/>
    <w:uiPriority w:val="99"/>
    <w:semiHidden/>
    <w:unhideWhenUsed/>
    <w:rsid w:val="001F75AE"/>
    <w:rPr>
      <w:color w:val="605E5C"/>
      <w:shd w:val="clear" w:color="auto" w:fill="E1DFDD"/>
    </w:rPr>
  </w:style>
  <w:style w:type="paragraph" w:styleId="Header">
    <w:name w:val="header"/>
    <w:basedOn w:val="Normal"/>
    <w:link w:val="HeaderChar"/>
    <w:uiPriority w:val="99"/>
    <w:unhideWhenUsed/>
    <w:rsid w:val="00497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897"/>
  </w:style>
  <w:style w:type="paragraph" w:styleId="Footer">
    <w:name w:val="footer"/>
    <w:basedOn w:val="Normal"/>
    <w:link w:val="FooterChar"/>
    <w:uiPriority w:val="99"/>
    <w:unhideWhenUsed/>
    <w:rsid w:val="00497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897"/>
  </w:style>
  <w:style w:type="character" w:customStyle="1" w:styleId="Heading1Char">
    <w:name w:val="Heading 1 Char"/>
    <w:basedOn w:val="DefaultParagraphFont"/>
    <w:link w:val="Heading1"/>
    <w:uiPriority w:val="9"/>
    <w:rsid w:val="006900F0"/>
    <w:rPr>
      <w:rFonts w:ascii="Garamond" w:eastAsiaTheme="majorEastAsia" w:hAnsi="Garamond" w:cstheme="majorBidi"/>
      <w:b/>
      <w:color w:val="000000" w:themeColor="text1"/>
      <w:sz w:val="44"/>
      <w:szCs w:val="44"/>
      <w:lang w:eastAsia="ja-JP"/>
    </w:rPr>
  </w:style>
  <w:style w:type="paragraph" w:customStyle="1" w:styleId="CaseName">
    <w:name w:val="Case Name"/>
    <w:basedOn w:val="Normal"/>
    <w:next w:val="Citation"/>
    <w:link w:val="CaseNameChar"/>
    <w:qFormat/>
    <w:rsid w:val="007E1344"/>
    <w:pPr>
      <w:keepNext/>
      <w:keepLines/>
      <w:widowControl w:val="0"/>
      <w:autoSpaceDE w:val="0"/>
      <w:autoSpaceDN w:val="0"/>
      <w:adjustRightInd w:val="0"/>
      <w:spacing w:before="360" w:after="0"/>
      <w:jc w:val="center"/>
      <w:outlineLvl w:val="3"/>
    </w:pPr>
    <w:rPr>
      <w:rFonts w:cs="Times"/>
      <w:b/>
      <w:bCs/>
    </w:rPr>
  </w:style>
  <w:style w:type="paragraph" w:customStyle="1" w:styleId="Citation">
    <w:name w:val="Citation"/>
    <w:basedOn w:val="Normal"/>
    <w:next w:val="JudgeName"/>
    <w:link w:val="CitationChar"/>
    <w:qFormat/>
    <w:rsid w:val="007E1344"/>
    <w:pPr>
      <w:keepNext/>
      <w:keepLines/>
      <w:widowControl w:val="0"/>
      <w:autoSpaceDE w:val="0"/>
      <w:autoSpaceDN w:val="0"/>
      <w:adjustRightInd w:val="0"/>
      <w:spacing w:after="160" w:line="240" w:lineRule="auto"/>
      <w:contextualSpacing/>
      <w:jc w:val="center"/>
    </w:pPr>
    <w:rPr>
      <w:rFonts w:cs="Times"/>
      <w:lang w:eastAsia="en-US"/>
    </w:rPr>
  </w:style>
  <w:style w:type="character" w:customStyle="1" w:styleId="CaseNameChar">
    <w:name w:val="Case Name Char"/>
    <w:basedOn w:val="DefaultParagraphFont"/>
    <w:link w:val="CaseName"/>
    <w:rsid w:val="007E1344"/>
    <w:rPr>
      <w:rFonts w:ascii="Garamond" w:eastAsiaTheme="minorEastAsia" w:hAnsi="Garamond" w:cs="Times"/>
      <w:b/>
      <w:bCs/>
      <w:sz w:val="26"/>
      <w:szCs w:val="26"/>
      <w:lang w:eastAsia="ja-JP"/>
    </w:rPr>
  </w:style>
  <w:style w:type="paragraph" w:customStyle="1" w:styleId="JudgeName">
    <w:name w:val="Judge Name"/>
    <w:basedOn w:val="Normal"/>
    <w:next w:val="Normal"/>
    <w:link w:val="JudgeNameChar"/>
    <w:qFormat/>
    <w:rsid w:val="00F12246"/>
    <w:pPr>
      <w:keepNext/>
      <w:spacing w:before="160"/>
    </w:pPr>
    <w:rPr>
      <w:rFonts w:eastAsia="MS Mincho" w:cs="Arial"/>
    </w:rPr>
  </w:style>
  <w:style w:type="character" w:customStyle="1" w:styleId="CitationChar">
    <w:name w:val="Citation Char"/>
    <w:basedOn w:val="DefaultParagraphFont"/>
    <w:link w:val="Citation"/>
    <w:rsid w:val="007E1344"/>
    <w:rPr>
      <w:rFonts w:ascii="Garamond" w:eastAsiaTheme="minorEastAsia" w:hAnsi="Garamond" w:cs="Times"/>
      <w:sz w:val="26"/>
      <w:szCs w:val="26"/>
    </w:rPr>
  </w:style>
  <w:style w:type="character" w:styleId="CommentReference">
    <w:name w:val="annotation reference"/>
    <w:basedOn w:val="DefaultParagraphFont"/>
    <w:uiPriority w:val="99"/>
    <w:semiHidden/>
    <w:unhideWhenUsed/>
    <w:rsid w:val="00176C17"/>
    <w:rPr>
      <w:sz w:val="16"/>
      <w:szCs w:val="16"/>
    </w:rPr>
  </w:style>
  <w:style w:type="character" w:customStyle="1" w:styleId="JudgeNameChar">
    <w:name w:val="Judge Name Char"/>
    <w:basedOn w:val="DefaultParagraphFont"/>
    <w:link w:val="JudgeName"/>
    <w:rsid w:val="00F12246"/>
    <w:rPr>
      <w:rFonts w:ascii="Garamond" w:eastAsia="MS Mincho" w:hAnsi="Garamond" w:cs="Arial"/>
      <w:sz w:val="24"/>
    </w:rPr>
  </w:style>
  <w:style w:type="paragraph" w:styleId="CommentText">
    <w:name w:val="annotation text"/>
    <w:basedOn w:val="Normal"/>
    <w:link w:val="CommentTextChar"/>
    <w:uiPriority w:val="99"/>
    <w:unhideWhenUsed/>
    <w:rsid w:val="00176C17"/>
    <w:pPr>
      <w:spacing w:line="240" w:lineRule="auto"/>
    </w:pPr>
    <w:rPr>
      <w:sz w:val="20"/>
      <w:szCs w:val="20"/>
    </w:rPr>
  </w:style>
  <w:style w:type="character" w:customStyle="1" w:styleId="CommentTextChar">
    <w:name w:val="Comment Text Char"/>
    <w:basedOn w:val="DefaultParagraphFont"/>
    <w:link w:val="CommentText"/>
    <w:uiPriority w:val="99"/>
    <w:rsid w:val="00176C1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176C17"/>
    <w:rPr>
      <w:b/>
      <w:bCs/>
    </w:rPr>
  </w:style>
  <w:style w:type="character" w:customStyle="1" w:styleId="CommentSubjectChar">
    <w:name w:val="Comment Subject Char"/>
    <w:basedOn w:val="CommentTextChar"/>
    <w:link w:val="CommentSubject"/>
    <w:uiPriority w:val="99"/>
    <w:semiHidden/>
    <w:rsid w:val="00176C17"/>
    <w:rPr>
      <w:rFonts w:ascii="Garamond" w:hAnsi="Garamond"/>
      <w:b/>
      <w:bCs/>
      <w:sz w:val="20"/>
      <w:szCs w:val="20"/>
    </w:rPr>
  </w:style>
  <w:style w:type="paragraph" w:customStyle="1" w:styleId="QuestionHeading">
    <w:name w:val="Question Heading"/>
    <w:basedOn w:val="Normal"/>
    <w:next w:val="QuestionText"/>
    <w:link w:val="QuestionHeadingChar"/>
    <w:qFormat/>
    <w:rsid w:val="00176C17"/>
    <w:pPr>
      <w:jc w:val="center"/>
    </w:pPr>
    <w:rPr>
      <w:rFonts w:eastAsia="MS Mincho" w:cs="Arial"/>
      <w:b/>
      <w:bCs/>
      <w:sz w:val="22"/>
      <w:szCs w:val="24"/>
    </w:rPr>
  </w:style>
  <w:style w:type="paragraph" w:customStyle="1" w:styleId="QuestionText">
    <w:name w:val="Question Text"/>
    <w:basedOn w:val="ListParagraph"/>
    <w:link w:val="QuestionTextChar"/>
    <w:qFormat/>
    <w:rsid w:val="00871C2E"/>
    <w:pPr>
      <w:ind w:left="0" w:right="720"/>
    </w:pPr>
    <w:rPr>
      <w:szCs w:val="24"/>
    </w:rPr>
  </w:style>
  <w:style w:type="character" w:customStyle="1" w:styleId="QuestionHeadingChar">
    <w:name w:val="Question Heading Char"/>
    <w:basedOn w:val="DefaultParagraphFont"/>
    <w:link w:val="QuestionHeading"/>
    <w:rsid w:val="00176C17"/>
    <w:rPr>
      <w:rFonts w:ascii="Garamond" w:eastAsia="MS Mincho" w:hAnsi="Garamond" w:cs="Arial"/>
      <w:b/>
      <w:bCs/>
      <w:szCs w:val="24"/>
      <w:lang w:eastAsia="ja-JP"/>
    </w:rPr>
  </w:style>
  <w:style w:type="character" w:customStyle="1" w:styleId="ListParagraphChar">
    <w:name w:val="List Paragraph Char"/>
    <w:basedOn w:val="DefaultParagraphFont"/>
    <w:link w:val="ListParagraph"/>
    <w:uiPriority w:val="34"/>
    <w:rsid w:val="007E1344"/>
    <w:rPr>
      <w:rFonts w:ascii="Garamond" w:eastAsiaTheme="minorEastAsia" w:hAnsi="Garamond"/>
      <w:sz w:val="26"/>
      <w:szCs w:val="26"/>
      <w:lang w:eastAsia="ja-JP"/>
    </w:rPr>
  </w:style>
  <w:style w:type="character" w:customStyle="1" w:styleId="QuestionTextChar">
    <w:name w:val="Question Text Char"/>
    <w:basedOn w:val="ListParagraphChar"/>
    <w:link w:val="QuestionText"/>
    <w:rsid w:val="00871C2E"/>
    <w:rPr>
      <w:rFonts w:ascii="Garamond" w:eastAsiaTheme="minorEastAsia" w:hAnsi="Garamond"/>
      <w:sz w:val="24"/>
      <w:szCs w:val="24"/>
      <w:lang w:eastAsia="ja-JP"/>
    </w:rPr>
  </w:style>
  <w:style w:type="paragraph" w:customStyle="1" w:styleId="CaseBreak">
    <w:name w:val="Case Break"/>
    <w:basedOn w:val="Normal"/>
    <w:next w:val="CaseName"/>
    <w:link w:val="CaseBreakChar"/>
    <w:qFormat/>
    <w:rsid w:val="00B70C58"/>
    <w:pPr>
      <w:spacing w:before="240"/>
      <w:jc w:val="center"/>
    </w:pPr>
  </w:style>
  <w:style w:type="paragraph" w:customStyle="1" w:styleId="Internalheading">
    <w:name w:val="Internal heading"/>
    <w:basedOn w:val="Normal"/>
    <w:link w:val="InternalheadingChar"/>
    <w:qFormat/>
    <w:rsid w:val="00E06E16"/>
    <w:pPr>
      <w:keepNext/>
      <w:jc w:val="center"/>
    </w:pPr>
    <w:rPr>
      <w:b/>
      <w:bCs/>
    </w:rPr>
  </w:style>
  <w:style w:type="character" w:customStyle="1" w:styleId="CaseBreakChar">
    <w:name w:val="Case Break Char"/>
    <w:basedOn w:val="DefaultParagraphFont"/>
    <w:link w:val="CaseBreak"/>
    <w:rsid w:val="00B70C58"/>
    <w:rPr>
      <w:rFonts w:ascii="Garamond" w:hAnsi="Garamond"/>
      <w:sz w:val="24"/>
    </w:rPr>
  </w:style>
  <w:style w:type="paragraph" w:styleId="NoteHeading">
    <w:name w:val="Note Heading"/>
    <w:basedOn w:val="Normal"/>
    <w:next w:val="Normal"/>
    <w:link w:val="NoteHeadingChar"/>
    <w:uiPriority w:val="99"/>
    <w:unhideWhenUsed/>
    <w:rsid w:val="00645117"/>
    <w:pPr>
      <w:spacing w:after="0" w:line="240" w:lineRule="auto"/>
    </w:pPr>
  </w:style>
  <w:style w:type="character" w:customStyle="1" w:styleId="InternalheadingChar">
    <w:name w:val="Internal heading Char"/>
    <w:basedOn w:val="DefaultParagraphFont"/>
    <w:link w:val="Internalheading"/>
    <w:rsid w:val="00E06E16"/>
    <w:rPr>
      <w:rFonts w:ascii="Garamond" w:hAnsi="Garamond"/>
      <w:b/>
      <w:bCs/>
      <w:sz w:val="24"/>
    </w:rPr>
  </w:style>
  <w:style w:type="character" w:customStyle="1" w:styleId="NoteHeadingChar">
    <w:name w:val="Note Heading Char"/>
    <w:basedOn w:val="DefaultParagraphFont"/>
    <w:link w:val="NoteHeading"/>
    <w:uiPriority w:val="99"/>
    <w:rsid w:val="00645117"/>
    <w:rPr>
      <w:rFonts w:ascii="Garamond" w:hAnsi="Garamond"/>
      <w:sz w:val="24"/>
    </w:rPr>
  </w:style>
  <w:style w:type="character" w:customStyle="1" w:styleId="cosearchterm">
    <w:name w:val="co_searchterm"/>
    <w:basedOn w:val="DefaultParagraphFont"/>
    <w:rsid w:val="00DA0BF0"/>
  </w:style>
  <w:style w:type="character" w:styleId="Emphasis">
    <w:name w:val="Emphasis"/>
    <w:basedOn w:val="DefaultParagraphFont"/>
    <w:uiPriority w:val="20"/>
    <w:qFormat/>
    <w:rsid w:val="000C35B4"/>
    <w:rPr>
      <w:i/>
      <w:iCs/>
    </w:rPr>
  </w:style>
  <w:style w:type="paragraph" w:styleId="FootnoteText">
    <w:name w:val="footnote text"/>
    <w:basedOn w:val="Normal"/>
    <w:link w:val="FootnoteTextChar"/>
    <w:uiPriority w:val="99"/>
    <w:unhideWhenUsed/>
    <w:rsid w:val="00FC40BA"/>
    <w:pPr>
      <w:spacing w:after="120" w:line="254" w:lineRule="auto"/>
    </w:pPr>
    <w:rPr>
      <w:sz w:val="20"/>
      <w:szCs w:val="20"/>
    </w:rPr>
  </w:style>
  <w:style w:type="character" w:customStyle="1" w:styleId="FootnoteTextChar">
    <w:name w:val="Footnote Text Char"/>
    <w:basedOn w:val="DefaultParagraphFont"/>
    <w:link w:val="FootnoteText"/>
    <w:uiPriority w:val="99"/>
    <w:rsid w:val="00FC40BA"/>
    <w:rPr>
      <w:rFonts w:ascii="Garamond" w:eastAsiaTheme="minorEastAsia" w:hAnsi="Garamond"/>
      <w:sz w:val="20"/>
      <w:szCs w:val="20"/>
    </w:rPr>
  </w:style>
  <w:style w:type="character" w:styleId="FootnoteReference">
    <w:name w:val="footnote reference"/>
    <w:basedOn w:val="DefaultParagraphFont"/>
    <w:uiPriority w:val="99"/>
    <w:semiHidden/>
    <w:unhideWhenUsed/>
    <w:rsid w:val="00B127E2"/>
    <w:rPr>
      <w:vertAlign w:val="superscript"/>
    </w:rPr>
  </w:style>
  <w:style w:type="character" w:styleId="FollowedHyperlink">
    <w:name w:val="FollowedHyperlink"/>
    <w:basedOn w:val="DefaultParagraphFont"/>
    <w:uiPriority w:val="99"/>
    <w:semiHidden/>
    <w:unhideWhenUsed/>
    <w:rsid w:val="007E294B"/>
    <w:rPr>
      <w:color w:val="954F72" w:themeColor="followedHyperlink"/>
      <w:u w:val="single"/>
    </w:rPr>
  </w:style>
  <w:style w:type="paragraph" w:styleId="NormalWeb">
    <w:name w:val="Normal (Web)"/>
    <w:basedOn w:val="Normal"/>
    <w:uiPriority w:val="99"/>
    <w:semiHidden/>
    <w:unhideWhenUsed/>
    <w:rsid w:val="003075E7"/>
    <w:pPr>
      <w:spacing w:before="100" w:beforeAutospacing="1" w:after="100" w:afterAutospacing="1" w:line="240" w:lineRule="auto"/>
      <w:jc w:val="left"/>
    </w:pPr>
    <w:rPr>
      <w:rFonts w:ascii="Times New Roman" w:eastAsia="Times New Roman" w:hAnsi="Times New Roman" w:cs="Times New Roman"/>
      <w:szCs w:val="24"/>
    </w:rPr>
  </w:style>
  <w:style w:type="paragraph" w:styleId="Revision">
    <w:name w:val="Revision"/>
    <w:hidden/>
    <w:uiPriority w:val="99"/>
    <w:semiHidden/>
    <w:rsid w:val="00DF27A8"/>
    <w:pPr>
      <w:spacing w:after="0" w:line="240" w:lineRule="auto"/>
    </w:pPr>
    <w:rPr>
      <w:rFonts w:ascii="Garamond" w:hAnsi="Garamond"/>
      <w:sz w:val="24"/>
    </w:rPr>
  </w:style>
  <w:style w:type="paragraph" w:customStyle="1" w:styleId="p1">
    <w:name w:val="p1"/>
    <w:basedOn w:val="Normal"/>
    <w:rsid w:val="006D7405"/>
    <w:pPr>
      <w:spacing w:after="0" w:line="240" w:lineRule="auto"/>
      <w:jc w:val="left"/>
    </w:pPr>
    <w:rPr>
      <w:rFonts w:ascii="Times New Roman" w:hAnsi="Times New Roman" w:cs="Times New Roman"/>
      <w:color w:val="000000"/>
      <w:sz w:val="18"/>
      <w:szCs w:val="18"/>
    </w:rPr>
  </w:style>
  <w:style w:type="character" w:customStyle="1" w:styleId="UnresolvedMention2">
    <w:name w:val="Unresolved Mention2"/>
    <w:basedOn w:val="DefaultParagraphFont"/>
    <w:uiPriority w:val="99"/>
    <w:rsid w:val="00945973"/>
    <w:rPr>
      <w:color w:val="605E5C"/>
      <w:shd w:val="clear" w:color="auto" w:fill="E1DFDD"/>
    </w:rPr>
  </w:style>
  <w:style w:type="character" w:customStyle="1" w:styleId="Heading4Char">
    <w:name w:val="Heading 4 Char"/>
    <w:basedOn w:val="DefaultParagraphFont"/>
    <w:link w:val="Heading4"/>
    <w:uiPriority w:val="9"/>
    <w:semiHidden/>
    <w:rsid w:val="00FB4F43"/>
    <w:rPr>
      <w:rFonts w:asciiTheme="majorHAnsi" w:eastAsiaTheme="majorEastAsia" w:hAnsiTheme="majorHAnsi" w:cstheme="majorBidi"/>
      <w:i/>
      <w:iCs/>
      <w:color w:val="2F5496" w:themeColor="accent1" w:themeShade="BF"/>
      <w:sz w:val="24"/>
    </w:rPr>
  </w:style>
  <w:style w:type="paragraph" w:customStyle="1" w:styleId="BlockquoteInList">
    <w:name w:val="Blockquote In List"/>
    <w:basedOn w:val="Normal"/>
    <w:next w:val="Normal"/>
    <w:qFormat/>
    <w:rsid w:val="007E1344"/>
    <w:pPr>
      <w:spacing w:before="160"/>
      <w:ind w:left="1440" w:right="720"/>
    </w:pPr>
    <w:rPr>
      <w:szCs w:val="24"/>
    </w:rPr>
  </w:style>
  <w:style w:type="paragraph" w:customStyle="1" w:styleId="Blockquote1first">
    <w:name w:val="Blockquote 1 first"/>
    <w:basedOn w:val="Normal"/>
    <w:qFormat/>
    <w:rsid w:val="007E1344"/>
    <w:pPr>
      <w:spacing w:before="160" w:after="160"/>
      <w:ind w:left="720" w:right="720"/>
    </w:pPr>
    <w:rPr>
      <w:szCs w:val="24"/>
    </w:rPr>
  </w:style>
  <w:style w:type="paragraph" w:customStyle="1" w:styleId="JudgesName">
    <w:name w:val="Judge's Name"/>
    <w:basedOn w:val="Normal"/>
    <w:next w:val="Normal"/>
    <w:qFormat/>
    <w:rsid w:val="007E1344"/>
    <w:pPr>
      <w:keepNext/>
      <w:spacing w:before="160" w:after="120"/>
    </w:pPr>
    <w:rPr>
      <w:szCs w:val="24"/>
    </w:rPr>
  </w:style>
  <w:style w:type="paragraph" w:customStyle="1" w:styleId="Questions">
    <w:name w:val="Questions"/>
    <w:basedOn w:val="Normal"/>
    <w:qFormat/>
    <w:rsid w:val="007E1344"/>
    <w:pPr>
      <w:keepNext/>
      <w:keepLines/>
      <w:widowControl w:val="0"/>
      <w:autoSpaceDE w:val="0"/>
      <w:autoSpaceDN w:val="0"/>
      <w:adjustRightInd w:val="0"/>
      <w:spacing w:before="480" w:after="0" w:line="300" w:lineRule="atLeast"/>
      <w:jc w:val="center"/>
      <w:outlineLvl w:val="3"/>
    </w:pPr>
    <w:rPr>
      <w:rFonts w:cs="Times"/>
      <w:b/>
      <w:bCs/>
      <w:sz w:val="24"/>
    </w:rPr>
  </w:style>
  <w:style w:type="paragraph" w:customStyle="1" w:styleId="SubjectHeader">
    <w:name w:val="Subject Header"/>
    <w:basedOn w:val="Heading1"/>
    <w:link w:val="SubjectHeaderChar"/>
    <w:qFormat/>
    <w:rsid w:val="009937E1"/>
    <w:pPr>
      <w:spacing w:after="240"/>
      <w:outlineLvl w:val="1"/>
    </w:pPr>
  </w:style>
  <w:style w:type="character" w:customStyle="1" w:styleId="SubjectHeaderChar">
    <w:name w:val="Subject Header Char"/>
    <w:basedOn w:val="Heading1Char"/>
    <w:link w:val="SubjectHeader"/>
    <w:rsid w:val="009937E1"/>
    <w:rPr>
      <w:rFonts w:ascii="Garamond" w:eastAsiaTheme="majorEastAsia" w:hAnsi="Garamond" w:cstheme="majorBidi"/>
      <w:b/>
      <w:color w:val="000000" w:themeColor="text1"/>
      <w:sz w:val="44"/>
      <w:szCs w:val="44"/>
      <w:lang w:eastAsia="ja-JP"/>
    </w:rPr>
  </w:style>
  <w:style w:type="paragraph" w:customStyle="1" w:styleId="Notesnonumbers">
    <w:name w:val="Notes (no numbers)"/>
    <w:basedOn w:val="ListParagraph"/>
    <w:link w:val="NotesnonumbersChar"/>
    <w:qFormat/>
    <w:rsid w:val="00A95E46"/>
    <w:pPr>
      <w:numPr>
        <w:numId w:val="0"/>
      </w:numPr>
      <w:ind w:left="720"/>
    </w:pPr>
  </w:style>
  <w:style w:type="character" w:customStyle="1" w:styleId="NotesnonumbersChar">
    <w:name w:val="Notes (no numbers) Char"/>
    <w:basedOn w:val="ListParagraphChar"/>
    <w:link w:val="Notesnonumbers"/>
    <w:rsid w:val="00A95E46"/>
    <w:rPr>
      <w:rFonts w:ascii="Garamond" w:eastAsiaTheme="minorEastAsia" w:hAnsi="Garamond"/>
      <w:sz w:val="26"/>
      <w:szCs w:val="26"/>
      <w:lang w:eastAsia="ja-JP"/>
    </w:rPr>
  </w:style>
  <w:style w:type="paragraph" w:customStyle="1" w:styleId="FNtext">
    <w:name w:val="FN text"/>
    <w:basedOn w:val="FootnoteText"/>
    <w:link w:val="FNtextChar"/>
    <w:qFormat/>
    <w:rsid w:val="00A95E46"/>
    <w:rPr>
      <w:sz w:val="22"/>
      <w:szCs w:val="22"/>
    </w:rPr>
  </w:style>
  <w:style w:type="character" w:customStyle="1" w:styleId="FNtextChar">
    <w:name w:val="FN text Char"/>
    <w:basedOn w:val="FootnoteTextChar"/>
    <w:link w:val="FNtext"/>
    <w:rsid w:val="00A95E46"/>
    <w:rPr>
      <w:rFonts w:ascii="Garamond" w:eastAsiaTheme="minorEastAsia" w:hAnsi="Garamond"/>
      <w:sz w:val="20"/>
      <w:szCs w:val="20"/>
      <w:lang w:eastAsia="ja-JP"/>
    </w:rPr>
  </w:style>
  <w:style w:type="paragraph" w:customStyle="1" w:styleId="Headers">
    <w:name w:val="Headers"/>
    <w:basedOn w:val="Header"/>
    <w:link w:val="HeadersChar"/>
    <w:qFormat/>
    <w:rsid w:val="00A95E46"/>
  </w:style>
  <w:style w:type="character" w:customStyle="1" w:styleId="HeadersChar">
    <w:name w:val="Headers Char"/>
    <w:basedOn w:val="HeaderChar"/>
    <w:link w:val="Headers"/>
    <w:rsid w:val="00A95E46"/>
    <w:rPr>
      <w:rFonts w:ascii="Garamond" w:eastAsiaTheme="minorEastAsia" w:hAnsi="Garamond"/>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93024">
      <w:bodyDiv w:val="1"/>
      <w:marLeft w:val="0"/>
      <w:marRight w:val="0"/>
      <w:marTop w:val="0"/>
      <w:marBottom w:val="0"/>
      <w:divBdr>
        <w:top w:val="none" w:sz="0" w:space="0" w:color="auto"/>
        <w:left w:val="none" w:sz="0" w:space="0" w:color="auto"/>
        <w:bottom w:val="none" w:sz="0" w:space="0" w:color="auto"/>
        <w:right w:val="none" w:sz="0" w:space="0" w:color="auto"/>
      </w:divBdr>
    </w:div>
    <w:div w:id="139201286">
      <w:bodyDiv w:val="1"/>
      <w:marLeft w:val="0"/>
      <w:marRight w:val="0"/>
      <w:marTop w:val="0"/>
      <w:marBottom w:val="0"/>
      <w:divBdr>
        <w:top w:val="none" w:sz="0" w:space="0" w:color="auto"/>
        <w:left w:val="none" w:sz="0" w:space="0" w:color="auto"/>
        <w:bottom w:val="none" w:sz="0" w:space="0" w:color="auto"/>
        <w:right w:val="none" w:sz="0" w:space="0" w:color="auto"/>
      </w:divBdr>
      <w:divsChild>
        <w:div w:id="666711351">
          <w:marLeft w:val="0"/>
          <w:marRight w:val="0"/>
          <w:marTop w:val="0"/>
          <w:marBottom w:val="0"/>
          <w:divBdr>
            <w:top w:val="none" w:sz="0" w:space="0" w:color="auto"/>
            <w:left w:val="none" w:sz="0" w:space="0" w:color="auto"/>
            <w:bottom w:val="none" w:sz="0" w:space="0" w:color="auto"/>
            <w:right w:val="none" w:sz="0" w:space="0" w:color="auto"/>
          </w:divBdr>
          <w:divsChild>
            <w:div w:id="357052840">
              <w:marLeft w:val="0"/>
              <w:marRight w:val="0"/>
              <w:marTop w:val="0"/>
              <w:marBottom w:val="0"/>
              <w:divBdr>
                <w:top w:val="none" w:sz="0" w:space="0" w:color="auto"/>
                <w:left w:val="none" w:sz="0" w:space="0" w:color="auto"/>
                <w:bottom w:val="none" w:sz="0" w:space="0" w:color="auto"/>
                <w:right w:val="none" w:sz="0" w:space="0" w:color="auto"/>
              </w:divBdr>
              <w:divsChild>
                <w:div w:id="1942760101">
                  <w:marLeft w:val="0"/>
                  <w:marRight w:val="0"/>
                  <w:marTop w:val="0"/>
                  <w:marBottom w:val="0"/>
                  <w:divBdr>
                    <w:top w:val="none" w:sz="0" w:space="0" w:color="auto"/>
                    <w:left w:val="none" w:sz="0" w:space="0" w:color="auto"/>
                    <w:bottom w:val="none" w:sz="0" w:space="0" w:color="auto"/>
                    <w:right w:val="none" w:sz="0" w:space="0" w:color="auto"/>
                  </w:divBdr>
                </w:div>
              </w:divsChild>
            </w:div>
            <w:div w:id="2041322696">
              <w:marLeft w:val="0"/>
              <w:marRight w:val="0"/>
              <w:marTop w:val="0"/>
              <w:marBottom w:val="0"/>
              <w:divBdr>
                <w:top w:val="none" w:sz="0" w:space="0" w:color="auto"/>
                <w:left w:val="none" w:sz="0" w:space="0" w:color="auto"/>
                <w:bottom w:val="none" w:sz="0" w:space="0" w:color="auto"/>
                <w:right w:val="none" w:sz="0" w:space="0" w:color="auto"/>
              </w:divBdr>
              <w:divsChild>
                <w:div w:id="4463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085">
      <w:bodyDiv w:val="1"/>
      <w:marLeft w:val="0"/>
      <w:marRight w:val="0"/>
      <w:marTop w:val="0"/>
      <w:marBottom w:val="0"/>
      <w:divBdr>
        <w:top w:val="none" w:sz="0" w:space="0" w:color="auto"/>
        <w:left w:val="none" w:sz="0" w:space="0" w:color="auto"/>
        <w:bottom w:val="none" w:sz="0" w:space="0" w:color="auto"/>
        <w:right w:val="none" w:sz="0" w:space="0" w:color="auto"/>
      </w:divBdr>
    </w:div>
    <w:div w:id="219249925">
      <w:bodyDiv w:val="1"/>
      <w:marLeft w:val="0"/>
      <w:marRight w:val="0"/>
      <w:marTop w:val="0"/>
      <w:marBottom w:val="0"/>
      <w:divBdr>
        <w:top w:val="none" w:sz="0" w:space="0" w:color="auto"/>
        <w:left w:val="none" w:sz="0" w:space="0" w:color="auto"/>
        <w:bottom w:val="none" w:sz="0" w:space="0" w:color="auto"/>
        <w:right w:val="none" w:sz="0" w:space="0" w:color="auto"/>
      </w:divBdr>
    </w:div>
    <w:div w:id="225923981">
      <w:bodyDiv w:val="1"/>
      <w:marLeft w:val="0"/>
      <w:marRight w:val="0"/>
      <w:marTop w:val="0"/>
      <w:marBottom w:val="0"/>
      <w:divBdr>
        <w:top w:val="none" w:sz="0" w:space="0" w:color="auto"/>
        <w:left w:val="none" w:sz="0" w:space="0" w:color="auto"/>
        <w:bottom w:val="none" w:sz="0" w:space="0" w:color="auto"/>
        <w:right w:val="none" w:sz="0" w:space="0" w:color="auto"/>
      </w:divBdr>
    </w:div>
    <w:div w:id="260334333">
      <w:bodyDiv w:val="1"/>
      <w:marLeft w:val="0"/>
      <w:marRight w:val="0"/>
      <w:marTop w:val="0"/>
      <w:marBottom w:val="0"/>
      <w:divBdr>
        <w:top w:val="none" w:sz="0" w:space="0" w:color="auto"/>
        <w:left w:val="none" w:sz="0" w:space="0" w:color="auto"/>
        <w:bottom w:val="none" w:sz="0" w:space="0" w:color="auto"/>
        <w:right w:val="none" w:sz="0" w:space="0" w:color="auto"/>
      </w:divBdr>
    </w:div>
    <w:div w:id="265356177">
      <w:bodyDiv w:val="1"/>
      <w:marLeft w:val="0"/>
      <w:marRight w:val="0"/>
      <w:marTop w:val="0"/>
      <w:marBottom w:val="0"/>
      <w:divBdr>
        <w:top w:val="none" w:sz="0" w:space="0" w:color="auto"/>
        <w:left w:val="none" w:sz="0" w:space="0" w:color="auto"/>
        <w:bottom w:val="none" w:sz="0" w:space="0" w:color="auto"/>
        <w:right w:val="none" w:sz="0" w:space="0" w:color="auto"/>
      </w:divBdr>
    </w:div>
    <w:div w:id="267473223">
      <w:bodyDiv w:val="1"/>
      <w:marLeft w:val="0"/>
      <w:marRight w:val="0"/>
      <w:marTop w:val="0"/>
      <w:marBottom w:val="0"/>
      <w:divBdr>
        <w:top w:val="none" w:sz="0" w:space="0" w:color="auto"/>
        <w:left w:val="none" w:sz="0" w:space="0" w:color="auto"/>
        <w:bottom w:val="none" w:sz="0" w:space="0" w:color="auto"/>
        <w:right w:val="none" w:sz="0" w:space="0" w:color="auto"/>
      </w:divBdr>
      <w:divsChild>
        <w:div w:id="1997104644">
          <w:marLeft w:val="547"/>
          <w:marRight w:val="0"/>
          <w:marTop w:val="154"/>
          <w:marBottom w:val="0"/>
          <w:divBdr>
            <w:top w:val="none" w:sz="0" w:space="0" w:color="auto"/>
            <w:left w:val="none" w:sz="0" w:space="0" w:color="auto"/>
            <w:bottom w:val="none" w:sz="0" w:space="0" w:color="auto"/>
            <w:right w:val="none" w:sz="0" w:space="0" w:color="auto"/>
          </w:divBdr>
        </w:div>
        <w:div w:id="1895920628">
          <w:marLeft w:val="547"/>
          <w:marRight w:val="0"/>
          <w:marTop w:val="154"/>
          <w:marBottom w:val="0"/>
          <w:divBdr>
            <w:top w:val="none" w:sz="0" w:space="0" w:color="auto"/>
            <w:left w:val="none" w:sz="0" w:space="0" w:color="auto"/>
            <w:bottom w:val="none" w:sz="0" w:space="0" w:color="auto"/>
            <w:right w:val="none" w:sz="0" w:space="0" w:color="auto"/>
          </w:divBdr>
        </w:div>
      </w:divsChild>
    </w:div>
    <w:div w:id="308831066">
      <w:bodyDiv w:val="1"/>
      <w:marLeft w:val="0"/>
      <w:marRight w:val="0"/>
      <w:marTop w:val="0"/>
      <w:marBottom w:val="0"/>
      <w:divBdr>
        <w:top w:val="none" w:sz="0" w:space="0" w:color="auto"/>
        <w:left w:val="none" w:sz="0" w:space="0" w:color="auto"/>
        <w:bottom w:val="none" w:sz="0" w:space="0" w:color="auto"/>
        <w:right w:val="none" w:sz="0" w:space="0" w:color="auto"/>
      </w:divBdr>
    </w:div>
    <w:div w:id="423577684">
      <w:bodyDiv w:val="1"/>
      <w:marLeft w:val="0"/>
      <w:marRight w:val="0"/>
      <w:marTop w:val="0"/>
      <w:marBottom w:val="0"/>
      <w:divBdr>
        <w:top w:val="none" w:sz="0" w:space="0" w:color="auto"/>
        <w:left w:val="none" w:sz="0" w:space="0" w:color="auto"/>
        <w:bottom w:val="none" w:sz="0" w:space="0" w:color="auto"/>
        <w:right w:val="none" w:sz="0" w:space="0" w:color="auto"/>
      </w:divBdr>
    </w:div>
    <w:div w:id="463424291">
      <w:bodyDiv w:val="1"/>
      <w:marLeft w:val="0"/>
      <w:marRight w:val="0"/>
      <w:marTop w:val="0"/>
      <w:marBottom w:val="0"/>
      <w:divBdr>
        <w:top w:val="none" w:sz="0" w:space="0" w:color="auto"/>
        <w:left w:val="none" w:sz="0" w:space="0" w:color="auto"/>
        <w:bottom w:val="none" w:sz="0" w:space="0" w:color="auto"/>
        <w:right w:val="none" w:sz="0" w:space="0" w:color="auto"/>
      </w:divBdr>
    </w:div>
    <w:div w:id="477575598">
      <w:bodyDiv w:val="1"/>
      <w:marLeft w:val="0"/>
      <w:marRight w:val="0"/>
      <w:marTop w:val="0"/>
      <w:marBottom w:val="0"/>
      <w:divBdr>
        <w:top w:val="none" w:sz="0" w:space="0" w:color="auto"/>
        <w:left w:val="none" w:sz="0" w:space="0" w:color="auto"/>
        <w:bottom w:val="none" w:sz="0" w:space="0" w:color="auto"/>
        <w:right w:val="none" w:sz="0" w:space="0" w:color="auto"/>
      </w:divBdr>
    </w:div>
    <w:div w:id="482817163">
      <w:bodyDiv w:val="1"/>
      <w:marLeft w:val="0"/>
      <w:marRight w:val="0"/>
      <w:marTop w:val="0"/>
      <w:marBottom w:val="0"/>
      <w:divBdr>
        <w:top w:val="none" w:sz="0" w:space="0" w:color="auto"/>
        <w:left w:val="none" w:sz="0" w:space="0" w:color="auto"/>
        <w:bottom w:val="none" w:sz="0" w:space="0" w:color="auto"/>
        <w:right w:val="none" w:sz="0" w:space="0" w:color="auto"/>
      </w:divBdr>
    </w:div>
    <w:div w:id="531383385">
      <w:bodyDiv w:val="1"/>
      <w:marLeft w:val="0"/>
      <w:marRight w:val="0"/>
      <w:marTop w:val="0"/>
      <w:marBottom w:val="0"/>
      <w:divBdr>
        <w:top w:val="none" w:sz="0" w:space="0" w:color="auto"/>
        <w:left w:val="none" w:sz="0" w:space="0" w:color="auto"/>
        <w:bottom w:val="none" w:sz="0" w:space="0" w:color="auto"/>
        <w:right w:val="none" w:sz="0" w:space="0" w:color="auto"/>
      </w:divBdr>
    </w:div>
    <w:div w:id="602809095">
      <w:bodyDiv w:val="1"/>
      <w:marLeft w:val="0"/>
      <w:marRight w:val="0"/>
      <w:marTop w:val="0"/>
      <w:marBottom w:val="0"/>
      <w:divBdr>
        <w:top w:val="none" w:sz="0" w:space="0" w:color="auto"/>
        <w:left w:val="none" w:sz="0" w:space="0" w:color="auto"/>
        <w:bottom w:val="none" w:sz="0" w:space="0" w:color="auto"/>
        <w:right w:val="none" w:sz="0" w:space="0" w:color="auto"/>
      </w:divBdr>
      <w:divsChild>
        <w:div w:id="198668103">
          <w:marLeft w:val="0"/>
          <w:marRight w:val="0"/>
          <w:marTop w:val="0"/>
          <w:marBottom w:val="0"/>
          <w:divBdr>
            <w:top w:val="none" w:sz="0" w:space="0" w:color="auto"/>
            <w:left w:val="none" w:sz="0" w:space="0" w:color="auto"/>
            <w:bottom w:val="none" w:sz="0" w:space="0" w:color="auto"/>
            <w:right w:val="none" w:sz="0" w:space="0" w:color="auto"/>
          </w:divBdr>
          <w:divsChild>
            <w:div w:id="1572302309">
              <w:marLeft w:val="0"/>
              <w:marRight w:val="0"/>
              <w:marTop w:val="0"/>
              <w:marBottom w:val="0"/>
              <w:divBdr>
                <w:top w:val="none" w:sz="0" w:space="0" w:color="auto"/>
                <w:left w:val="none" w:sz="0" w:space="0" w:color="auto"/>
                <w:bottom w:val="none" w:sz="0" w:space="0" w:color="auto"/>
                <w:right w:val="none" w:sz="0" w:space="0" w:color="auto"/>
              </w:divBdr>
              <w:divsChild>
                <w:div w:id="15142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12741">
      <w:bodyDiv w:val="1"/>
      <w:marLeft w:val="0"/>
      <w:marRight w:val="0"/>
      <w:marTop w:val="0"/>
      <w:marBottom w:val="0"/>
      <w:divBdr>
        <w:top w:val="none" w:sz="0" w:space="0" w:color="auto"/>
        <w:left w:val="none" w:sz="0" w:space="0" w:color="auto"/>
        <w:bottom w:val="none" w:sz="0" w:space="0" w:color="auto"/>
        <w:right w:val="none" w:sz="0" w:space="0" w:color="auto"/>
      </w:divBdr>
    </w:div>
    <w:div w:id="615673617">
      <w:bodyDiv w:val="1"/>
      <w:marLeft w:val="0"/>
      <w:marRight w:val="0"/>
      <w:marTop w:val="0"/>
      <w:marBottom w:val="0"/>
      <w:divBdr>
        <w:top w:val="none" w:sz="0" w:space="0" w:color="auto"/>
        <w:left w:val="none" w:sz="0" w:space="0" w:color="auto"/>
        <w:bottom w:val="none" w:sz="0" w:space="0" w:color="auto"/>
        <w:right w:val="none" w:sz="0" w:space="0" w:color="auto"/>
      </w:divBdr>
    </w:div>
    <w:div w:id="652952660">
      <w:bodyDiv w:val="1"/>
      <w:marLeft w:val="0"/>
      <w:marRight w:val="0"/>
      <w:marTop w:val="0"/>
      <w:marBottom w:val="0"/>
      <w:divBdr>
        <w:top w:val="none" w:sz="0" w:space="0" w:color="auto"/>
        <w:left w:val="none" w:sz="0" w:space="0" w:color="auto"/>
        <w:bottom w:val="none" w:sz="0" w:space="0" w:color="auto"/>
        <w:right w:val="none" w:sz="0" w:space="0" w:color="auto"/>
      </w:divBdr>
    </w:div>
    <w:div w:id="760681287">
      <w:bodyDiv w:val="1"/>
      <w:marLeft w:val="0"/>
      <w:marRight w:val="0"/>
      <w:marTop w:val="0"/>
      <w:marBottom w:val="0"/>
      <w:divBdr>
        <w:top w:val="none" w:sz="0" w:space="0" w:color="auto"/>
        <w:left w:val="none" w:sz="0" w:space="0" w:color="auto"/>
        <w:bottom w:val="none" w:sz="0" w:space="0" w:color="auto"/>
        <w:right w:val="none" w:sz="0" w:space="0" w:color="auto"/>
      </w:divBdr>
      <w:divsChild>
        <w:div w:id="967006692">
          <w:marLeft w:val="0"/>
          <w:marRight w:val="0"/>
          <w:marTop w:val="0"/>
          <w:marBottom w:val="0"/>
          <w:divBdr>
            <w:top w:val="none" w:sz="0" w:space="0" w:color="auto"/>
            <w:left w:val="none" w:sz="0" w:space="0" w:color="auto"/>
            <w:bottom w:val="none" w:sz="0" w:space="0" w:color="auto"/>
            <w:right w:val="none" w:sz="0" w:space="0" w:color="auto"/>
          </w:divBdr>
          <w:divsChild>
            <w:div w:id="922835522">
              <w:marLeft w:val="0"/>
              <w:marRight w:val="0"/>
              <w:marTop w:val="0"/>
              <w:marBottom w:val="0"/>
              <w:divBdr>
                <w:top w:val="none" w:sz="0" w:space="0" w:color="auto"/>
                <w:left w:val="none" w:sz="0" w:space="0" w:color="auto"/>
                <w:bottom w:val="none" w:sz="0" w:space="0" w:color="auto"/>
                <w:right w:val="none" w:sz="0" w:space="0" w:color="auto"/>
              </w:divBdr>
              <w:divsChild>
                <w:div w:id="16509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19792">
      <w:bodyDiv w:val="1"/>
      <w:marLeft w:val="0"/>
      <w:marRight w:val="0"/>
      <w:marTop w:val="0"/>
      <w:marBottom w:val="0"/>
      <w:divBdr>
        <w:top w:val="none" w:sz="0" w:space="0" w:color="auto"/>
        <w:left w:val="none" w:sz="0" w:space="0" w:color="auto"/>
        <w:bottom w:val="none" w:sz="0" w:space="0" w:color="auto"/>
        <w:right w:val="none" w:sz="0" w:space="0" w:color="auto"/>
      </w:divBdr>
    </w:div>
    <w:div w:id="773525769">
      <w:bodyDiv w:val="1"/>
      <w:marLeft w:val="0"/>
      <w:marRight w:val="0"/>
      <w:marTop w:val="0"/>
      <w:marBottom w:val="0"/>
      <w:divBdr>
        <w:top w:val="none" w:sz="0" w:space="0" w:color="auto"/>
        <w:left w:val="none" w:sz="0" w:space="0" w:color="auto"/>
        <w:bottom w:val="none" w:sz="0" w:space="0" w:color="auto"/>
        <w:right w:val="none" w:sz="0" w:space="0" w:color="auto"/>
      </w:divBdr>
    </w:div>
    <w:div w:id="852917634">
      <w:bodyDiv w:val="1"/>
      <w:marLeft w:val="0"/>
      <w:marRight w:val="0"/>
      <w:marTop w:val="0"/>
      <w:marBottom w:val="0"/>
      <w:divBdr>
        <w:top w:val="none" w:sz="0" w:space="0" w:color="auto"/>
        <w:left w:val="none" w:sz="0" w:space="0" w:color="auto"/>
        <w:bottom w:val="none" w:sz="0" w:space="0" w:color="auto"/>
        <w:right w:val="none" w:sz="0" w:space="0" w:color="auto"/>
      </w:divBdr>
    </w:div>
    <w:div w:id="887911606">
      <w:bodyDiv w:val="1"/>
      <w:marLeft w:val="0"/>
      <w:marRight w:val="0"/>
      <w:marTop w:val="0"/>
      <w:marBottom w:val="0"/>
      <w:divBdr>
        <w:top w:val="none" w:sz="0" w:space="0" w:color="auto"/>
        <w:left w:val="none" w:sz="0" w:space="0" w:color="auto"/>
        <w:bottom w:val="none" w:sz="0" w:space="0" w:color="auto"/>
        <w:right w:val="none" w:sz="0" w:space="0" w:color="auto"/>
      </w:divBdr>
    </w:div>
    <w:div w:id="889000450">
      <w:bodyDiv w:val="1"/>
      <w:marLeft w:val="0"/>
      <w:marRight w:val="0"/>
      <w:marTop w:val="0"/>
      <w:marBottom w:val="0"/>
      <w:divBdr>
        <w:top w:val="none" w:sz="0" w:space="0" w:color="auto"/>
        <w:left w:val="none" w:sz="0" w:space="0" w:color="auto"/>
        <w:bottom w:val="none" w:sz="0" w:space="0" w:color="auto"/>
        <w:right w:val="none" w:sz="0" w:space="0" w:color="auto"/>
      </w:divBdr>
    </w:div>
    <w:div w:id="895966521">
      <w:bodyDiv w:val="1"/>
      <w:marLeft w:val="0"/>
      <w:marRight w:val="0"/>
      <w:marTop w:val="0"/>
      <w:marBottom w:val="0"/>
      <w:divBdr>
        <w:top w:val="none" w:sz="0" w:space="0" w:color="auto"/>
        <w:left w:val="none" w:sz="0" w:space="0" w:color="auto"/>
        <w:bottom w:val="none" w:sz="0" w:space="0" w:color="auto"/>
        <w:right w:val="none" w:sz="0" w:space="0" w:color="auto"/>
      </w:divBdr>
    </w:div>
    <w:div w:id="916398783">
      <w:bodyDiv w:val="1"/>
      <w:marLeft w:val="0"/>
      <w:marRight w:val="0"/>
      <w:marTop w:val="0"/>
      <w:marBottom w:val="0"/>
      <w:divBdr>
        <w:top w:val="none" w:sz="0" w:space="0" w:color="auto"/>
        <w:left w:val="none" w:sz="0" w:space="0" w:color="auto"/>
        <w:bottom w:val="none" w:sz="0" w:space="0" w:color="auto"/>
        <w:right w:val="none" w:sz="0" w:space="0" w:color="auto"/>
      </w:divBdr>
    </w:div>
    <w:div w:id="919826303">
      <w:bodyDiv w:val="1"/>
      <w:marLeft w:val="0"/>
      <w:marRight w:val="0"/>
      <w:marTop w:val="0"/>
      <w:marBottom w:val="0"/>
      <w:divBdr>
        <w:top w:val="none" w:sz="0" w:space="0" w:color="auto"/>
        <w:left w:val="none" w:sz="0" w:space="0" w:color="auto"/>
        <w:bottom w:val="none" w:sz="0" w:space="0" w:color="auto"/>
        <w:right w:val="none" w:sz="0" w:space="0" w:color="auto"/>
      </w:divBdr>
    </w:div>
    <w:div w:id="1011251697">
      <w:bodyDiv w:val="1"/>
      <w:marLeft w:val="0"/>
      <w:marRight w:val="0"/>
      <w:marTop w:val="0"/>
      <w:marBottom w:val="0"/>
      <w:divBdr>
        <w:top w:val="none" w:sz="0" w:space="0" w:color="auto"/>
        <w:left w:val="none" w:sz="0" w:space="0" w:color="auto"/>
        <w:bottom w:val="none" w:sz="0" w:space="0" w:color="auto"/>
        <w:right w:val="none" w:sz="0" w:space="0" w:color="auto"/>
      </w:divBdr>
    </w:div>
    <w:div w:id="1012148726">
      <w:bodyDiv w:val="1"/>
      <w:marLeft w:val="0"/>
      <w:marRight w:val="0"/>
      <w:marTop w:val="0"/>
      <w:marBottom w:val="0"/>
      <w:divBdr>
        <w:top w:val="none" w:sz="0" w:space="0" w:color="auto"/>
        <w:left w:val="none" w:sz="0" w:space="0" w:color="auto"/>
        <w:bottom w:val="none" w:sz="0" w:space="0" w:color="auto"/>
        <w:right w:val="none" w:sz="0" w:space="0" w:color="auto"/>
      </w:divBdr>
    </w:div>
    <w:div w:id="1108692764">
      <w:bodyDiv w:val="1"/>
      <w:marLeft w:val="0"/>
      <w:marRight w:val="0"/>
      <w:marTop w:val="0"/>
      <w:marBottom w:val="0"/>
      <w:divBdr>
        <w:top w:val="none" w:sz="0" w:space="0" w:color="auto"/>
        <w:left w:val="none" w:sz="0" w:space="0" w:color="auto"/>
        <w:bottom w:val="none" w:sz="0" w:space="0" w:color="auto"/>
        <w:right w:val="none" w:sz="0" w:space="0" w:color="auto"/>
      </w:divBdr>
    </w:div>
    <w:div w:id="1120228256">
      <w:bodyDiv w:val="1"/>
      <w:marLeft w:val="0"/>
      <w:marRight w:val="0"/>
      <w:marTop w:val="0"/>
      <w:marBottom w:val="0"/>
      <w:divBdr>
        <w:top w:val="none" w:sz="0" w:space="0" w:color="auto"/>
        <w:left w:val="none" w:sz="0" w:space="0" w:color="auto"/>
        <w:bottom w:val="none" w:sz="0" w:space="0" w:color="auto"/>
        <w:right w:val="none" w:sz="0" w:space="0" w:color="auto"/>
      </w:divBdr>
    </w:div>
    <w:div w:id="1138649838">
      <w:bodyDiv w:val="1"/>
      <w:marLeft w:val="0"/>
      <w:marRight w:val="0"/>
      <w:marTop w:val="0"/>
      <w:marBottom w:val="0"/>
      <w:divBdr>
        <w:top w:val="none" w:sz="0" w:space="0" w:color="auto"/>
        <w:left w:val="none" w:sz="0" w:space="0" w:color="auto"/>
        <w:bottom w:val="none" w:sz="0" w:space="0" w:color="auto"/>
        <w:right w:val="none" w:sz="0" w:space="0" w:color="auto"/>
      </w:divBdr>
    </w:div>
    <w:div w:id="1140077182">
      <w:bodyDiv w:val="1"/>
      <w:marLeft w:val="0"/>
      <w:marRight w:val="0"/>
      <w:marTop w:val="0"/>
      <w:marBottom w:val="0"/>
      <w:divBdr>
        <w:top w:val="none" w:sz="0" w:space="0" w:color="auto"/>
        <w:left w:val="none" w:sz="0" w:space="0" w:color="auto"/>
        <w:bottom w:val="none" w:sz="0" w:space="0" w:color="auto"/>
        <w:right w:val="none" w:sz="0" w:space="0" w:color="auto"/>
      </w:divBdr>
    </w:div>
    <w:div w:id="1141968393">
      <w:bodyDiv w:val="1"/>
      <w:marLeft w:val="0"/>
      <w:marRight w:val="0"/>
      <w:marTop w:val="0"/>
      <w:marBottom w:val="0"/>
      <w:divBdr>
        <w:top w:val="none" w:sz="0" w:space="0" w:color="auto"/>
        <w:left w:val="none" w:sz="0" w:space="0" w:color="auto"/>
        <w:bottom w:val="none" w:sz="0" w:space="0" w:color="auto"/>
        <w:right w:val="none" w:sz="0" w:space="0" w:color="auto"/>
      </w:divBdr>
    </w:div>
    <w:div w:id="1151141913">
      <w:bodyDiv w:val="1"/>
      <w:marLeft w:val="0"/>
      <w:marRight w:val="0"/>
      <w:marTop w:val="0"/>
      <w:marBottom w:val="0"/>
      <w:divBdr>
        <w:top w:val="none" w:sz="0" w:space="0" w:color="auto"/>
        <w:left w:val="none" w:sz="0" w:space="0" w:color="auto"/>
        <w:bottom w:val="none" w:sz="0" w:space="0" w:color="auto"/>
        <w:right w:val="none" w:sz="0" w:space="0" w:color="auto"/>
      </w:divBdr>
      <w:divsChild>
        <w:div w:id="1768620773">
          <w:marLeft w:val="0"/>
          <w:marRight w:val="0"/>
          <w:marTop w:val="0"/>
          <w:marBottom w:val="0"/>
          <w:divBdr>
            <w:top w:val="none" w:sz="0" w:space="0" w:color="auto"/>
            <w:left w:val="none" w:sz="0" w:space="0" w:color="auto"/>
            <w:bottom w:val="none" w:sz="0" w:space="0" w:color="auto"/>
            <w:right w:val="none" w:sz="0" w:space="0" w:color="auto"/>
          </w:divBdr>
        </w:div>
      </w:divsChild>
    </w:div>
    <w:div w:id="1187211585">
      <w:bodyDiv w:val="1"/>
      <w:marLeft w:val="0"/>
      <w:marRight w:val="0"/>
      <w:marTop w:val="0"/>
      <w:marBottom w:val="0"/>
      <w:divBdr>
        <w:top w:val="none" w:sz="0" w:space="0" w:color="auto"/>
        <w:left w:val="none" w:sz="0" w:space="0" w:color="auto"/>
        <w:bottom w:val="none" w:sz="0" w:space="0" w:color="auto"/>
        <w:right w:val="none" w:sz="0" w:space="0" w:color="auto"/>
      </w:divBdr>
    </w:div>
    <w:div w:id="1238710443">
      <w:bodyDiv w:val="1"/>
      <w:marLeft w:val="0"/>
      <w:marRight w:val="0"/>
      <w:marTop w:val="0"/>
      <w:marBottom w:val="0"/>
      <w:divBdr>
        <w:top w:val="none" w:sz="0" w:space="0" w:color="auto"/>
        <w:left w:val="none" w:sz="0" w:space="0" w:color="auto"/>
        <w:bottom w:val="none" w:sz="0" w:space="0" w:color="auto"/>
        <w:right w:val="none" w:sz="0" w:space="0" w:color="auto"/>
      </w:divBdr>
    </w:div>
    <w:div w:id="1278950390">
      <w:bodyDiv w:val="1"/>
      <w:marLeft w:val="0"/>
      <w:marRight w:val="0"/>
      <w:marTop w:val="0"/>
      <w:marBottom w:val="0"/>
      <w:divBdr>
        <w:top w:val="none" w:sz="0" w:space="0" w:color="auto"/>
        <w:left w:val="none" w:sz="0" w:space="0" w:color="auto"/>
        <w:bottom w:val="none" w:sz="0" w:space="0" w:color="auto"/>
        <w:right w:val="none" w:sz="0" w:space="0" w:color="auto"/>
      </w:divBdr>
    </w:div>
    <w:div w:id="1294171348">
      <w:bodyDiv w:val="1"/>
      <w:marLeft w:val="0"/>
      <w:marRight w:val="0"/>
      <w:marTop w:val="0"/>
      <w:marBottom w:val="0"/>
      <w:divBdr>
        <w:top w:val="none" w:sz="0" w:space="0" w:color="auto"/>
        <w:left w:val="none" w:sz="0" w:space="0" w:color="auto"/>
        <w:bottom w:val="none" w:sz="0" w:space="0" w:color="auto"/>
        <w:right w:val="none" w:sz="0" w:space="0" w:color="auto"/>
      </w:divBdr>
    </w:div>
    <w:div w:id="1329750956">
      <w:bodyDiv w:val="1"/>
      <w:marLeft w:val="0"/>
      <w:marRight w:val="0"/>
      <w:marTop w:val="0"/>
      <w:marBottom w:val="0"/>
      <w:divBdr>
        <w:top w:val="none" w:sz="0" w:space="0" w:color="auto"/>
        <w:left w:val="none" w:sz="0" w:space="0" w:color="auto"/>
        <w:bottom w:val="none" w:sz="0" w:space="0" w:color="auto"/>
        <w:right w:val="none" w:sz="0" w:space="0" w:color="auto"/>
      </w:divBdr>
    </w:div>
    <w:div w:id="1334989343">
      <w:bodyDiv w:val="1"/>
      <w:marLeft w:val="0"/>
      <w:marRight w:val="0"/>
      <w:marTop w:val="0"/>
      <w:marBottom w:val="0"/>
      <w:divBdr>
        <w:top w:val="none" w:sz="0" w:space="0" w:color="auto"/>
        <w:left w:val="none" w:sz="0" w:space="0" w:color="auto"/>
        <w:bottom w:val="none" w:sz="0" w:space="0" w:color="auto"/>
        <w:right w:val="none" w:sz="0" w:space="0" w:color="auto"/>
      </w:divBdr>
    </w:div>
    <w:div w:id="1358434958">
      <w:bodyDiv w:val="1"/>
      <w:marLeft w:val="0"/>
      <w:marRight w:val="0"/>
      <w:marTop w:val="0"/>
      <w:marBottom w:val="0"/>
      <w:divBdr>
        <w:top w:val="none" w:sz="0" w:space="0" w:color="auto"/>
        <w:left w:val="none" w:sz="0" w:space="0" w:color="auto"/>
        <w:bottom w:val="none" w:sz="0" w:space="0" w:color="auto"/>
        <w:right w:val="none" w:sz="0" w:space="0" w:color="auto"/>
      </w:divBdr>
    </w:div>
    <w:div w:id="1386762467">
      <w:bodyDiv w:val="1"/>
      <w:marLeft w:val="0"/>
      <w:marRight w:val="0"/>
      <w:marTop w:val="0"/>
      <w:marBottom w:val="0"/>
      <w:divBdr>
        <w:top w:val="none" w:sz="0" w:space="0" w:color="auto"/>
        <w:left w:val="none" w:sz="0" w:space="0" w:color="auto"/>
        <w:bottom w:val="none" w:sz="0" w:space="0" w:color="auto"/>
        <w:right w:val="none" w:sz="0" w:space="0" w:color="auto"/>
      </w:divBdr>
    </w:div>
    <w:div w:id="1398937853">
      <w:bodyDiv w:val="1"/>
      <w:marLeft w:val="0"/>
      <w:marRight w:val="0"/>
      <w:marTop w:val="0"/>
      <w:marBottom w:val="0"/>
      <w:divBdr>
        <w:top w:val="none" w:sz="0" w:space="0" w:color="auto"/>
        <w:left w:val="none" w:sz="0" w:space="0" w:color="auto"/>
        <w:bottom w:val="none" w:sz="0" w:space="0" w:color="auto"/>
        <w:right w:val="none" w:sz="0" w:space="0" w:color="auto"/>
      </w:divBdr>
    </w:div>
    <w:div w:id="1409646140">
      <w:bodyDiv w:val="1"/>
      <w:marLeft w:val="0"/>
      <w:marRight w:val="0"/>
      <w:marTop w:val="0"/>
      <w:marBottom w:val="0"/>
      <w:divBdr>
        <w:top w:val="none" w:sz="0" w:space="0" w:color="auto"/>
        <w:left w:val="none" w:sz="0" w:space="0" w:color="auto"/>
        <w:bottom w:val="none" w:sz="0" w:space="0" w:color="auto"/>
        <w:right w:val="none" w:sz="0" w:space="0" w:color="auto"/>
      </w:divBdr>
    </w:div>
    <w:div w:id="1516656408">
      <w:bodyDiv w:val="1"/>
      <w:marLeft w:val="0"/>
      <w:marRight w:val="0"/>
      <w:marTop w:val="0"/>
      <w:marBottom w:val="0"/>
      <w:divBdr>
        <w:top w:val="none" w:sz="0" w:space="0" w:color="auto"/>
        <w:left w:val="none" w:sz="0" w:space="0" w:color="auto"/>
        <w:bottom w:val="none" w:sz="0" w:space="0" w:color="auto"/>
        <w:right w:val="none" w:sz="0" w:space="0" w:color="auto"/>
      </w:divBdr>
    </w:div>
    <w:div w:id="1549024467">
      <w:bodyDiv w:val="1"/>
      <w:marLeft w:val="0"/>
      <w:marRight w:val="0"/>
      <w:marTop w:val="0"/>
      <w:marBottom w:val="0"/>
      <w:divBdr>
        <w:top w:val="none" w:sz="0" w:space="0" w:color="auto"/>
        <w:left w:val="none" w:sz="0" w:space="0" w:color="auto"/>
        <w:bottom w:val="none" w:sz="0" w:space="0" w:color="auto"/>
        <w:right w:val="none" w:sz="0" w:space="0" w:color="auto"/>
      </w:divBdr>
    </w:div>
    <w:div w:id="1556087465">
      <w:bodyDiv w:val="1"/>
      <w:marLeft w:val="0"/>
      <w:marRight w:val="0"/>
      <w:marTop w:val="0"/>
      <w:marBottom w:val="0"/>
      <w:divBdr>
        <w:top w:val="none" w:sz="0" w:space="0" w:color="auto"/>
        <w:left w:val="none" w:sz="0" w:space="0" w:color="auto"/>
        <w:bottom w:val="none" w:sz="0" w:space="0" w:color="auto"/>
        <w:right w:val="none" w:sz="0" w:space="0" w:color="auto"/>
      </w:divBdr>
      <w:divsChild>
        <w:div w:id="1489789694">
          <w:marLeft w:val="0"/>
          <w:marRight w:val="0"/>
          <w:marTop w:val="0"/>
          <w:marBottom w:val="0"/>
          <w:divBdr>
            <w:top w:val="none" w:sz="0" w:space="0" w:color="auto"/>
            <w:left w:val="none" w:sz="0" w:space="0" w:color="auto"/>
            <w:bottom w:val="none" w:sz="0" w:space="0" w:color="auto"/>
            <w:right w:val="none" w:sz="0" w:space="0" w:color="auto"/>
          </w:divBdr>
          <w:divsChild>
            <w:div w:id="999504356">
              <w:marLeft w:val="0"/>
              <w:marRight w:val="0"/>
              <w:marTop w:val="0"/>
              <w:marBottom w:val="0"/>
              <w:divBdr>
                <w:top w:val="none" w:sz="0" w:space="0" w:color="auto"/>
                <w:left w:val="none" w:sz="0" w:space="0" w:color="auto"/>
                <w:bottom w:val="none" w:sz="0" w:space="0" w:color="auto"/>
                <w:right w:val="none" w:sz="0" w:space="0" w:color="auto"/>
              </w:divBdr>
              <w:divsChild>
                <w:div w:id="1302879654">
                  <w:marLeft w:val="0"/>
                  <w:marRight w:val="0"/>
                  <w:marTop w:val="0"/>
                  <w:marBottom w:val="0"/>
                  <w:divBdr>
                    <w:top w:val="none" w:sz="0" w:space="0" w:color="auto"/>
                    <w:left w:val="none" w:sz="0" w:space="0" w:color="auto"/>
                    <w:bottom w:val="none" w:sz="0" w:space="0" w:color="auto"/>
                    <w:right w:val="none" w:sz="0" w:space="0" w:color="auto"/>
                  </w:divBdr>
                </w:div>
              </w:divsChild>
            </w:div>
            <w:div w:id="996566846">
              <w:marLeft w:val="0"/>
              <w:marRight w:val="0"/>
              <w:marTop w:val="0"/>
              <w:marBottom w:val="0"/>
              <w:divBdr>
                <w:top w:val="none" w:sz="0" w:space="0" w:color="auto"/>
                <w:left w:val="none" w:sz="0" w:space="0" w:color="auto"/>
                <w:bottom w:val="none" w:sz="0" w:space="0" w:color="auto"/>
                <w:right w:val="none" w:sz="0" w:space="0" w:color="auto"/>
              </w:divBdr>
              <w:divsChild>
                <w:div w:id="18723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5135">
      <w:bodyDiv w:val="1"/>
      <w:marLeft w:val="0"/>
      <w:marRight w:val="0"/>
      <w:marTop w:val="0"/>
      <w:marBottom w:val="0"/>
      <w:divBdr>
        <w:top w:val="none" w:sz="0" w:space="0" w:color="auto"/>
        <w:left w:val="none" w:sz="0" w:space="0" w:color="auto"/>
        <w:bottom w:val="none" w:sz="0" w:space="0" w:color="auto"/>
        <w:right w:val="none" w:sz="0" w:space="0" w:color="auto"/>
      </w:divBdr>
    </w:div>
    <w:div w:id="1592474019">
      <w:bodyDiv w:val="1"/>
      <w:marLeft w:val="0"/>
      <w:marRight w:val="0"/>
      <w:marTop w:val="0"/>
      <w:marBottom w:val="0"/>
      <w:divBdr>
        <w:top w:val="none" w:sz="0" w:space="0" w:color="auto"/>
        <w:left w:val="none" w:sz="0" w:space="0" w:color="auto"/>
        <w:bottom w:val="none" w:sz="0" w:space="0" w:color="auto"/>
        <w:right w:val="none" w:sz="0" w:space="0" w:color="auto"/>
      </w:divBdr>
    </w:div>
    <w:div w:id="1602763239">
      <w:bodyDiv w:val="1"/>
      <w:marLeft w:val="0"/>
      <w:marRight w:val="0"/>
      <w:marTop w:val="0"/>
      <w:marBottom w:val="0"/>
      <w:divBdr>
        <w:top w:val="none" w:sz="0" w:space="0" w:color="auto"/>
        <w:left w:val="none" w:sz="0" w:space="0" w:color="auto"/>
        <w:bottom w:val="none" w:sz="0" w:space="0" w:color="auto"/>
        <w:right w:val="none" w:sz="0" w:space="0" w:color="auto"/>
      </w:divBdr>
    </w:div>
    <w:div w:id="1607349071">
      <w:bodyDiv w:val="1"/>
      <w:marLeft w:val="0"/>
      <w:marRight w:val="0"/>
      <w:marTop w:val="0"/>
      <w:marBottom w:val="0"/>
      <w:divBdr>
        <w:top w:val="none" w:sz="0" w:space="0" w:color="auto"/>
        <w:left w:val="none" w:sz="0" w:space="0" w:color="auto"/>
        <w:bottom w:val="none" w:sz="0" w:space="0" w:color="auto"/>
        <w:right w:val="none" w:sz="0" w:space="0" w:color="auto"/>
      </w:divBdr>
    </w:div>
    <w:div w:id="1613783001">
      <w:bodyDiv w:val="1"/>
      <w:marLeft w:val="0"/>
      <w:marRight w:val="0"/>
      <w:marTop w:val="0"/>
      <w:marBottom w:val="0"/>
      <w:divBdr>
        <w:top w:val="none" w:sz="0" w:space="0" w:color="auto"/>
        <w:left w:val="none" w:sz="0" w:space="0" w:color="auto"/>
        <w:bottom w:val="none" w:sz="0" w:space="0" w:color="auto"/>
        <w:right w:val="none" w:sz="0" w:space="0" w:color="auto"/>
      </w:divBdr>
    </w:div>
    <w:div w:id="1657488800">
      <w:bodyDiv w:val="1"/>
      <w:marLeft w:val="0"/>
      <w:marRight w:val="0"/>
      <w:marTop w:val="0"/>
      <w:marBottom w:val="0"/>
      <w:divBdr>
        <w:top w:val="none" w:sz="0" w:space="0" w:color="auto"/>
        <w:left w:val="none" w:sz="0" w:space="0" w:color="auto"/>
        <w:bottom w:val="none" w:sz="0" w:space="0" w:color="auto"/>
        <w:right w:val="none" w:sz="0" w:space="0" w:color="auto"/>
      </w:divBdr>
    </w:div>
    <w:div w:id="1708947038">
      <w:bodyDiv w:val="1"/>
      <w:marLeft w:val="0"/>
      <w:marRight w:val="0"/>
      <w:marTop w:val="0"/>
      <w:marBottom w:val="0"/>
      <w:divBdr>
        <w:top w:val="none" w:sz="0" w:space="0" w:color="auto"/>
        <w:left w:val="none" w:sz="0" w:space="0" w:color="auto"/>
        <w:bottom w:val="none" w:sz="0" w:space="0" w:color="auto"/>
        <w:right w:val="none" w:sz="0" w:space="0" w:color="auto"/>
      </w:divBdr>
    </w:div>
    <w:div w:id="1788891946">
      <w:bodyDiv w:val="1"/>
      <w:marLeft w:val="0"/>
      <w:marRight w:val="0"/>
      <w:marTop w:val="0"/>
      <w:marBottom w:val="0"/>
      <w:divBdr>
        <w:top w:val="none" w:sz="0" w:space="0" w:color="auto"/>
        <w:left w:val="none" w:sz="0" w:space="0" w:color="auto"/>
        <w:bottom w:val="none" w:sz="0" w:space="0" w:color="auto"/>
        <w:right w:val="none" w:sz="0" w:space="0" w:color="auto"/>
      </w:divBdr>
    </w:div>
    <w:div w:id="1841770334">
      <w:bodyDiv w:val="1"/>
      <w:marLeft w:val="0"/>
      <w:marRight w:val="0"/>
      <w:marTop w:val="0"/>
      <w:marBottom w:val="0"/>
      <w:divBdr>
        <w:top w:val="none" w:sz="0" w:space="0" w:color="auto"/>
        <w:left w:val="none" w:sz="0" w:space="0" w:color="auto"/>
        <w:bottom w:val="none" w:sz="0" w:space="0" w:color="auto"/>
        <w:right w:val="none" w:sz="0" w:space="0" w:color="auto"/>
      </w:divBdr>
      <w:divsChild>
        <w:div w:id="1007294522">
          <w:marLeft w:val="0"/>
          <w:marRight w:val="0"/>
          <w:marTop w:val="0"/>
          <w:marBottom w:val="0"/>
          <w:divBdr>
            <w:top w:val="none" w:sz="0" w:space="0" w:color="auto"/>
            <w:left w:val="none" w:sz="0" w:space="0" w:color="auto"/>
            <w:bottom w:val="none" w:sz="0" w:space="0" w:color="auto"/>
            <w:right w:val="none" w:sz="0" w:space="0" w:color="auto"/>
          </w:divBdr>
          <w:divsChild>
            <w:div w:id="713237908">
              <w:marLeft w:val="0"/>
              <w:marRight w:val="0"/>
              <w:marTop w:val="0"/>
              <w:marBottom w:val="0"/>
              <w:divBdr>
                <w:top w:val="none" w:sz="0" w:space="0" w:color="auto"/>
                <w:left w:val="none" w:sz="0" w:space="0" w:color="auto"/>
                <w:bottom w:val="none" w:sz="0" w:space="0" w:color="auto"/>
                <w:right w:val="none" w:sz="0" w:space="0" w:color="auto"/>
              </w:divBdr>
              <w:divsChild>
                <w:div w:id="12558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226313">
      <w:bodyDiv w:val="1"/>
      <w:marLeft w:val="0"/>
      <w:marRight w:val="0"/>
      <w:marTop w:val="0"/>
      <w:marBottom w:val="0"/>
      <w:divBdr>
        <w:top w:val="none" w:sz="0" w:space="0" w:color="auto"/>
        <w:left w:val="none" w:sz="0" w:space="0" w:color="auto"/>
        <w:bottom w:val="none" w:sz="0" w:space="0" w:color="auto"/>
        <w:right w:val="none" w:sz="0" w:space="0" w:color="auto"/>
      </w:divBdr>
    </w:div>
    <w:div w:id="1890995415">
      <w:bodyDiv w:val="1"/>
      <w:marLeft w:val="0"/>
      <w:marRight w:val="0"/>
      <w:marTop w:val="0"/>
      <w:marBottom w:val="0"/>
      <w:divBdr>
        <w:top w:val="none" w:sz="0" w:space="0" w:color="auto"/>
        <w:left w:val="none" w:sz="0" w:space="0" w:color="auto"/>
        <w:bottom w:val="none" w:sz="0" w:space="0" w:color="auto"/>
        <w:right w:val="none" w:sz="0" w:space="0" w:color="auto"/>
      </w:divBdr>
    </w:div>
    <w:div w:id="1917982476">
      <w:bodyDiv w:val="1"/>
      <w:marLeft w:val="0"/>
      <w:marRight w:val="0"/>
      <w:marTop w:val="0"/>
      <w:marBottom w:val="0"/>
      <w:divBdr>
        <w:top w:val="none" w:sz="0" w:space="0" w:color="auto"/>
        <w:left w:val="none" w:sz="0" w:space="0" w:color="auto"/>
        <w:bottom w:val="none" w:sz="0" w:space="0" w:color="auto"/>
        <w:right w:val="none" w:sz="0" w:space="0" w:color="auto"/>
      </w:divBdr>
    </w:div>
    <w:div w:id="2009361192">
      <w:bodyDiv w:val="1"/>
      <w:marLeft w:val="0"/>
      <w:marRight w:val="0"/>
      <w:marTop w:val="0"/>
      <w:marBottom w:val="0"/>
      <w:divBdr>
        <w:top w:val="none" w:sz="0" w:space="0" w:color="auto"/>
        <w:left w:val="none" w:sz="0" w:space="0" w:color="auto"/>
        <w:bottom w:val="none" w:sz="0" w:space="0" w:color="auto"/>
        <w:right w:val="none" w:sz="0" w:space="0" w:color="auto"/>
      </w:divBdr>
    </w:div>
    <w:div w:id="2062826324">
      <w:bodyDiv w:val="1"/>
      <w:marLeft w:val="0"/>
      <w:marRight w:val="0"/>
      <w:marTop w:val="0"/>
      <w:marBottom w:val="0"/>
      <w:divBdr>
        <w:top w:val="none" w:sz="0" w:space="0" w:color="auto"/>
        <w:left w:val="none" w:sz="0" w:space="0" w:color="auto"/>
        <w:bottom w:val="none" w:sz="0" w:space="0" w:color="auto"/>
        <w:right w:val="none" w:sz="0" w:space="0" w:color="auto"/>
      </w:divBdr>
      <w:divsChild>
        <w:div w:id="991299581">
          <w:marLeft w:val="0"/>
          <w:marRight w:val="0"/>
          <w:marTop w:val="0"/>
          <w:marBottom w:val="0"/>
          <w:divBdr>
            <w:top w:val="none" w:sz="0" w:space="0" w:color="auto"/>
            <w:left w:val="none" w:sz="0" w:space="0" w:color="auto"/>
            <w:bottom w:val="none" w:sz="0" w:space="0" w:color="auto"/>
            <w:right w:val="none" w:sz="0" w:space="0" w:color="auto"/>
          </w:divBdr>
          <w:divsChild>
            <w:div w:id="2029017316">
              <w:marLeft w:val="0"/>
              <w:marRight w:val="0"/>
              <w:marTop w:val="0"/>
              <w:marBottom w:val="0"/>
              <w:divBdr>
                <w:top w:val="none" w:sz="0" w:space="0" w:color="auto"/>
                <w:left w:val="none" w:sz="0" w:space="0" w:color="auto"/>
                <w:bottom w:val="none" w:sz="0" w:space="0" w:color="auto"/>
                <w:right w:val="none" w:sz="0" w:space="0" w:color="auto"/>
              </w:divBdr>
              <w:divsChild>
                <w:div w:id="20950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800492">
      <w:bodyDiv w:val="1"/>
      <w:marLeft w:val="0"/>
      <w:marRight w:val="0"/>
      <w:marTop w:val="0"/>
      <w:marBottom w:val="0"/>
      <w:divBdr>
        <w:top w:val="none" w:sz="0" w:space="0" w:color="auto"/>
        <w:left w:val="none" w:sz="0" w:space="0" w:color="auto"/>
        <w:bottom w:val="none" w:sz="0" w:space="0" w:color="auto"/>
        <w:right w:val="none" w:sz="0" w:space="0" w:color="auto"/>
      </w:divBdr>
    </w:div>
    <w:div w:id="213054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law.com/Link/Document/FullText?findType=Y&amp;serNum=1972115223&amp;pubNum=578&amp;originatingDoc=Ib2fbb885d33c11d98ac8f235252e36df&amp;refType=RP&amp;originationContext=document&amp;vr=3.0&amp;rs=cblt1.0&amp;transitionType=DocumentItem&amp;contextData=(sc.Defaul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stlaw.com/Link/Document/FullText?findType=h&amp;pubNum=176284&amp;cite=0200156201&amp;originatingDoc=Ice506e69d3d611d99439b076ef9ec4de&amp;refType=RQ&amp;originationContext=document&amp;vr=3.0&amp;rs=cblt1.0&amp;transitionType=DocumentItem&amp;contextData=(sc.Defau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stlaw.com/Link/Document/FullText?findType=Y&amp;pubNum=0101603&amp;cite=REST2DCONTRs90&amp;originatingDoc=Ib2fbb885d33c11d98ac8f235252e36df&amp;refType=TS&amp;originationContext=document&amp;vr=3.0&amp;rs=cblt1.0&amp;transitionType=DocumentItem&amp;contextData=(sc.Defaul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estlaw.com/Link/Document/FullText?findType=Y&amp;pubNum=0101603&amp;cite=REST2DCONTRs90&amp;originatingDoc=Ib2fbb885d33c11d98ac8f235252e36df&amp;refType=TS&amp;originationContext=document&amp;vr=3.0&amp;rs=cblt1.0&amp;transitionType=DocumentItem&amp;contextData=(sc.Default)" TargetMode="External"/><Relationship Id="rId4" Type="http://schemas.openxmlformats.org/officeDocument/2006/relationships/settings" Target="settings.xml"/><Relationship Id="rId9" Type="http://schemas.openxmlformats.org/officeDocument/2006/relationships/hyperlink" Target="https://www.westlaw.com/Link/Document/FullText?findType=Y&amp;pubNum=0101603&amp;cite=REST2DCONTRs90&amp;originatingDoc=Ib2fbb885d33c11d98ac8f235252e36df&amp;refType=TS&amp;originationContext=document&amp;vr=3.0&amp;rs=cblt1.0&amp;transitionType=DocumentItem&amp;contextData=(sc.Defaul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54C4C-A2B7-884B-8820-6ED08DB47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7928</Words>
  <Characters>45191</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53013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Linford</dc:creator>
  <cp:keywords/>
  <dc:description/>
  <cp:lastModifiedBy>Guy Rub</cp:lastModifiedBy>
  <cp:revision>17</cp:revision>
  <dcterms:created xsi:type="dcterms:W3CDTF">2024-09-24T00:08:00Z</dcterms:created>
  <dcterms:modified xsi:type="dcterms:W3CDTF">2024-10-18T14:13:00Z</dcterms:modified>
</cp:coreProperties>
</file>